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AB7E7" w14:textId="77777777" w:rsidR="0099052C" w:rsidRDefault="0099052C" w:rsidP="009A13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2BFE10E1" w14:textId="77777777" w:rsidR="00DF4589" w:rsidRDefault="00DF4589" w:rsidP="009A13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4CDA5A3C" w14:textId="7D41574C" w:rsidR="00DF4589" w:rsidRPr="009E54DD" w:rsidRDefault="00DF4589" w:rsidP="00DF4589">
      <w:pPr>
        <w:pStyle w:val="RevEducTtulo"/>
        <w:ind w:left="720" w:hanging="720"/>
        <w:jc w:val="left"/>
        <w:rPr>
          <w:rFonts w:ascii="Times" w:hAnsi="Times"/>
          <w:b w:val="0"/>
          <w:sz w:val="24"/>
        </w:rPr>
      </w:pPr>
      <w:r w:rsidRPr="009E54DD">
        <w:rPr>
          <w:rFonts w:ascii="Times" w:hAnsi="Times"/>
          <w:b w:val="0"/>
          <w:sz w:val="24"/>
        </w:rPr>
        <w:t>Renzulli, J. S.  (2007).  The Renzulli Learning System:  A technology</w:t>
      </w:r>
      <w:r w:rsidR="00B54965">
        <w:rPr>
          <w:rFonts w:ascii="Times" w:hAnsi="Times"/>
          <w:b w:val="0"/>
          <w:sz w:val="24"/>
        </w:rPr>
        <w:t xml:space="preserve"> </w:t>
      </w:r>
      <w:bookmarkStart w:id="0" w:name="_GoBack"/>
      <w:bookmarkEnd w:id="0"/>
      <w:r w:rsidRPr="009E54DD">
        <w:rPr>
          <w:rFonts w:ascii="Times" w:hAnsi="Times"/>
          <w:b w:val="0"/>
          <w:sz w:val="24"/>
        </w:rPr>
        <w:t>based application of the Schoolwide Enrichment Model</w:t>
      </w:r>
      <w:r w:rsidRPr="005010C4">
        <w:rPr>
          <w:rFonts w:ascii="Times" w:hAnsi="Times"/>
          <w:b w:val="0"/>
          <w:i/>
          <w:sz w:val="24"/>
        </w:rPr>
        <w:t>.  News and Science,</w:t>
      </w:r>
      <w:r w:rsidRPr="009E54DD">
        <w:rPr>
          <w:rFonts w:ascii="Times" w:hAnsi="Times"/>
          <w:b w:val="0"/>
          <w:sz w:val="24"/>
        </w:rPr>
        <w:t xml:space="preserve"> 16, 42 – 44.</w:t>
      </w:r>
    </w:p>
    <w:p w14:paraId="6FC4891C" w14:textId="77777777" w:rsidR="00DF4589" w:rsidRDefault="00DF4589" w:rsidP="009A13D8">
      <w:pPr>
        <w:autoSpaceDE w:val="0"/>
        <w:autoSpaceDN w:val="0"/>
        <w:adjustRightInd w:val="0"/>
        <w:spacing w:after="0"/>
        <w:rPr>
          <w:rFonts w:cs="Myriad-Bold"/>
          <w:b/>
          <w:bCs/>
          <w:sz w:val="36"/>
          <w:szCs w:val="32"/>
        </w:rPr>
      </w:pPr>
    </w:p>
    <w:p w14:paraId="61CCE4CA" w14:textId="77777777" w:rsidR="001E03CB" w:rsidRPr="009A13D8" w:rsidRDefault="001E03CB" w:rsidP="009A13D8">
      <w:pPr>
        <w:autoSpaceDE w:val="0"/>
        <w:autoSpaceDN w:val="0"/>
        <w:adjustRightInd w:val="0"/>
        <w:spacing w:after="0"/>
        <w:rPr>
          <w:rFonts w:cs="Myriad-Bold"/>
          <w:b/>
          <w:bCs/>
          <w:sz w:val="36"/>
          <w:szCs w:val="32"/>
        </w:rPr>
      </w:pPr>
      <w:r w:rsidRPr="009A13D8">
        <w:rPr>
          <w:rFonts w:cs="Myriad-Bold"/>
          <w:b/>
          <w:bCs/>
          <w:sz w:val="36"/>
          <w:szCs w:val="32"/>
        </w:rPr>
        <w:t>A Technology-Based Application of the Schoolwide Enrichment</w:t>
      </w:r>
      <w:r w:rsidR="009A13D8">
        <w:rPr>
          <w:rFonts w:cs="Myriad-Bold"/>
          <w:b/>
          <w:bCs/>
          <w:sz w:val="36"/>
          <w:szCs w:val="32"/>
        </w:rPr>
        <w:t xml:space="preserve"> </w:t>
      </w:r>
      <w:r w:rsidRPr="009A13D8">
        <w:rPr>
          <w:rFonts w:cs="Myriad-Bold"/>
          <w:b/>
          <w:bCs/>
          <w:sz w:val="36"/>
          <w:szCs w:val="32"/>
        </w:rPr>
        <w:t>Model and High-End Learning Theory</w:t>
      </w:r>
    </w:p>
    <w:p w14:paraId="0C720FB3" w14:textId="77777777" w:rsidR="009A13D8" w:rsidRDefault="009A13D8" w:rsidP="009A13D8">
      <w:pPr>
        <w:autoSpaceDE w:val="0"/>
        <w:autoSpaceDN w:val="0"/>
        <w:adjustRightInd w:val="0"/>
        <w:spacing w:after="0"/>
        <w:rPr>
          <w:rFonts w:cs="Myriad-Bold"/>
          <w:szCs w:val="20"/>
        </w:rPr>
      </w:pPr>
    </w:p>
    <w:p w14:paraId="0ED0F23D" w14:textId="77777777" w:rsidR="009A13D8" w:rsidRDefault="001E03CB" w:rsidP="009A13D8">
      <w:pPr>
        <w:autoSpaceDE w:val="0"/>
        <w:autoSpaceDN w:val="0"/>
        <w:adjustRightInd w:val="0"/>
        <w:spacing w:after="0"/>
        <w:rPr>
          <w:rFonts w:cs="Myriad-Bold"/>
          <w:szCs w:val="20"/>
        </w:rPr>
      </w:pPr>
      <w:r w:rsidRPr="009A13D8">
        <w:rPr>
          <w:rFonts w:cs="Myriad-Bold"/>
          <w:szCs w:val="20"/>
        </w:rPr>
        <w:t>Joseph S. Renzulli and Sally M. Reis</w:t>
      </w:r>
    </w:p>
    <w:p w14:paraId="00E9C815" w14:textId="77777777" w:rsidR="001E03CB" w:rsidRPr="009A13D8" w:rsidRDefault="001E03CB" w:rsidP="009A13D8">
      <w:pPr>
        <w:autoSpaceDE w:val="0"/>
        <w:autoSpaceDN w:val="0"/>
        <w:adjustRightInd w:val="0"/>
        <w:spacing w:after="0"/>
        <w:rPr>
          <w:rFonts w:cs="Myriad-Bold"/>
          <w:szCs w:val="20"/>
        </w:rPr>
      </w:pPr>
    </w:p>
    <w:p w14:paraId="23AD90C4" w14:textId="77777777" w:rsidR="001E03CB" w:rsidRPr="009A13D8" w:rsidRDefault="001E03CB" w:rsidP="009A13D8">
      <w:pPr>
        <w:autoSpaceDE w:val="0"/>
        <w:autoSpaceDN w:val="0"/>
        <w:adjustRightInd w:val="0"/>
        <w:spacing w:after="0"/>
        <w:ind w:left="4320"/>
        <w:jc w:val="right"/>
        <w:rPr>
          <w:rFonts w:cs="Myriad-Bold"/>
          <w:i/>
          <w:iCs/>
          <w:sz w:val="20"/>
          <w:szCs w:val="17"/>
        </w:rPr>
      </w:pPr>
      <w:r w:rsidRPr="009A13D8">
        <w:rPr>
          <w:rFonts w:cs="Myriad-Bold"/>
          <w:i/>
          <w:iCs/>
          <w:sz w:val="20"/>
          <w:szCs w:val="17"/>
        </w:rPr>
        <w:t>One hesitates using the word revolutionary in this day of technological advancements by the hour,</w:t>
      </w:r>
      <w:r w:rsidR="009A13D8" w:rsidRPr="009A13D8">
        <w:rPr>
          <w:rFonts w:cs="Myriad-Bold"/>
          <w:i/>
          <w:iCs/>
          <w:sz w:val="20"/>
          <w:szCs w:val="17"/>
        </w:rPr>
        <w:t xml:space="preserve"> </w:t>
      </w:r>
      <w:r w:rsidRPr="009A13D8">
        <w:rPr>
          <w:rFonts w:cs="Myriad-Bold"/>
          <w:i/>
          <w:iCs/>
          <w:sz w:val="20"/>
          <w:szCs w:val="17"/>
        </w:rPr>
        <w:t>but the word did occur to me as I reviewed the Renzulli Learning System. It provides a new level of</w:t>
      </w:r>
      <w:r w:rsidR="009A13D8" w:rsidRPr="009A13D8">
        <w:rPr>
          <w:rFonts w:cs="Myriad-Bold"/>
          <w:i/>
          <w:iCs/>
          <w:sz w:val="20"/>
          <w:szCs w:val="17"/>
        </w:rPr>
        <w:t xml:space="preserve"> </w:t>
      </w:r>
      <w:r w:rsidRPr="009A13D8">
        <w:rPr>
          <w:rFonts w:cs="Myriad-Bold"/>
          <w:i/>
          <w:iCs/>
          <w:sz w:val="20"/>
          <w:szCs w:val="17"/>
        </w:rPr>
        <w:t>differentiation and engagement.</w:t>
      </w:r>
    </w:p>
    <w:p w14:paraId="54977F74" w14:textId="77777777" w:rsidR="001E03CB" w:rsidRPr="009A13D8" w:rsidRDefault="001E03CB" w:rsidP="009A13D8">
      <w:pPr>
        <w:autoSpaceDE w:val="0"/>
        <w:autoSpaceDN w:val="0"/>
        <w:adjustRightInd w:val="0"/>
        <w:spacing w:after="0"/>
        <w:ind w:left="4320"/>
        <w:jc w:val="right"/>
        <w:rPr>
          <w:rFonts w:cs="Myriad-Bold"/>
          <w:i/>
          <w:iCs/>
          <w:sz w:val="20"/>
          <w:szCs w:val="17"/>
        </w:rPr>
      </w:pPr>
      <w:r w:rsidRPr="009A13D8">
        <w:rPr>
          <w:rFonts w:cs="Myriad-Bold"/>
          <w:i/>
          <w:iCs/>
          <w:sz w:val="20"/>
          <w:szCs w:val="17"/>
        </w:rPr>
        <w:t>John Lounsbury</w:t>
      </w:r>
    </w:p>
    <w:p w14:paraId="530158B9" w14:textId="77777777" w:rsidR="001E03CB" w:rsidRPr="009A13D8" w:rsidRDefault="001E03CB" w:rsidP="009A13D8">
      <w:pPr>
        <w:autoSpaceDE w:val="0"/>
        <w:autoSpaceDN w:val="0"/>
        <w:adjustRightInd w:val="0"/>
        <w:spacing w:after="0"/>
        <w:ind w:left="4320"/>
        <w:jc w:val="right"/>
        <w:rPr>
          <w:rFonts w:cs="Myriad-Bold"/>
          <w:i/>
          <w:iCs/>
          <w:sz w:val="20"/>
          <w:szCs w:val="17"/>
        </w:rPr>
      </w:pPr>
      <w:r w:rsidRPr="009A13D8">
        <w:rPr>
          <w:rFonts w:cs="Myriad-Bold"/>
          <w:i/>
          <w:iCs/>
          <w:sz w:val="20"/>
          <w:szCs w:val="17"/>
        </w:rPr>
        <w:t>National Middle School Association</w:t>
      </w:r>
    </w:p>
    <w:p w14:paraId="75B58F9D" w14:textId="77777777" w:rsidR="001E03CB" w:rsidRPr="009A13D8" w:rsidRDefault="001E03CB" w:rsidP="009A13D8">
      <w:pPr>
        <w:spacing w:after="0"/>
        <w:ind w:left="4320"/>
        <w:jc w:val="right"/>
        <w:rPr>
          <w:rFonts w:cs="Myriad-Bold"/>
          <w:i/>
          <w:iCs/>
          <w:sz w:val="20"/>
          <w:szCs w:val="17"/>
        </w:rPr>
      </w:pPr>
      <w:r w:rsidRPr="009A13D8">
        <w:rPr>
          <w:rFonts w:cs="Myriad-Bold"/>
          <w:i/>
          <w:iCs/>
          <w:sz w:val="20"/>
          <w:szCs w:val="17"/>
        </w:rPr>
        <w:t>Georgia College &amp; State University</w:t>
      </w:r>
    </w:p>
    <w:p w14:paraId="51537524" w14:textId="77777777" w:rsidR="001E03CB" w:rsidRPr="009A13D8" w:rsidRDefault="001E03CB" w:rsidP="009A13D8">
      <w:pPr>
        <w:spacing w:after="0"/>
        <w:rPr>
          <w:rFonts w:cs="Myriad-Bold"/>
          <w:i/>
          <w:iCs/>
          <w:szCs w:val="17"/>
        </w:rPr>
      </w:pPr>
    </w:p>
    <w:p w14:paraId="09C1D0B4" w14:textId="77777777" w:rsidR="001E03CB" w:rsidRPr="009A13D8" w:rsidRDefault="001E03CB" w:rsidP="009A13D8">
      <w:pPr>
        <w:spacing w:after="0"/>
        <w:rPr>
          <w:rFonts w:cs="Myriad-Bold"/>
          <w:i/>
          <w:iCs/>
          <w:szCs w:val="17"/>
        </w:rPr>
      </w:pPr>
    </w:p>
    <w:p w14:paraId="6B704F12" w14:textId="77777777" w:rsidR="009A13D8" w:rsidRDefault="001E03CB" w:rsidP="009A13D8">
      <w:pPr>
        <w:autoSpaceDE w:val="0"/>
        <w:autoSpaceDN w:val="0"/>
        <w:adjustRightInd w:val="0"/>
        <w:spacing w:after="0"/>
        <w:ind w:firstLine="720"/>
        <w:rPr>
          <w:rFonts w:cs="Times-Bold"/>
          <w:szCs w:val="20"/>
        </w:rPr>
      </w:pPr>
      <w:r w:rsidRPr="009A13D8">
        <w:rPr>
          <w:rFonts w:cs="Times-Bold"/>
          <w:b/>
          <w:bCs/>
          <w:szCs w:val="20"/>
        </w:rPr>
        <w:t xml:space="preserve">Abstract </w:t>
      </w:r>
      <w:r w:rsidRPr="009A13D8">
        <w:rPr>
          <w:rFonts w:cs="Times-Bold"/>
          <w:szCs w:val="20"/>
        </w:rPr>
        <w:t>Remarkable advances in instructional communication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technology (ICT) have now made it possible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to provide high levels of enrichment services to students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 xml:space="preserve">online. This </w:t>
      </w:r>
      <w:r w:rsidR="00DD429E">
        <w:rPr>
          <w:rFonts w:cs="Times-Bold"/>
          <w:szCs w:val="20"/>
        </w:rPr>
        <w:t>paper</w:t>
      </w:r>
      <w:r w:rsidRPr="009A13D8">
        <w:rPr>
          <w:rFonts w:cs="Times-Bold"/>
          <w:szCs w:val="20"/>
        </w:rPr>
        <w:t xml:space="preserve"> describes an Internet-based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enrichment program based on a high-end learning theory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that focuses on the development of creative productivity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 xml:space="preserve">through the </w:t>
      </w:r>
      <w:r w:rsidRPr="009A13D8">
        <w:rPr>
          <w:rFonts w:cs="Times-Bold"/>
          <w:i/>
          <w:iCs/>
          <w:szCs w:val="20"/>
        </w:rPr>
        <w:t xml:space="preserve">application </w:t>
      </w:r>
      <w:r w:rsidRPr="009A13D8">
        <w:rPr>
          <w:rFonts w:cs="Times-Bold"/>
          <w:szCs w:val="20"/>
        </w:rPr>
        <w:t>of knowledge rather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than the mere acquisition and storage of knowledge.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The program, called Renzulli Learning System (RLS),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extends the pedagogy of the SEM to various forms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of enrichment as well as first-hand investigative and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 xml:space="preserve">creative endeavors. In this </w:t>
      </w:r>
      <w:r w:rsidR="00DD429E">
        <w:rPr>
          <w:rFonts w:cs="Times-Bold"/>
          <w:szCs w:val="20"/>
        </w:rPr>
        <w:t>paper</w:t>
      </w:r>
      <w:r w:rsidRPr="009A13D8">
        <w:rPr>
          <w:rFonts w:cs="Times-Bold"/>
          <w:szCs w:val="20"/>
        </w:rPr>
        <w:t>, a brief overview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is provided about the Schoolwide Enrichment Model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(SEM), the organizational framework upon which the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RLS is based. This section will be followed by summaries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of the Three-Ring Conception of Giftedness and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the Enrichment Triad Model, the two theories underlying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SEM, and the final section presents a detailed description</w:t>
      </w:r>
      <w:r w:rsidR="009A13D8">
        <w:rPr>
          <w:rFonts w:cs="Times-Bold"/>
          <w:szCs w:val="20"/>
        </w:rPr>
        <w:t xml:space="preserve"> </w:t>
      </w:r>
      <w:r w:rsidRPr="009A13D8">
        <w:rPr>
          <w:rFonts w:cs="Times-Bold"/>
          <w:szCs w:val="20"/>
        </w:rPr>
        <w:t>of the Renzulli Learning System.</w:t>
      </w:r>
    </w:p>
    <w:p w14:paraId="4E9662E5" w14:textId="77777777" w:rsidR="009A13D8" w:rsidRDefault="009A13D8" w:rsidP="009A13D8">
      <w:pPr>
        <w:autoSpaceDE w:val="0"/>
        <w:autoSpaceDN w:val="0"/>
        <w:adjustRightInd w:val="0"/>
        <w:spacing w:after="0"/>
        <w:ind w:firstLine="720"/>
        <w:rPr>
          <w:rFonts w:cs="Times-Bold"/>
          <w:szCs w:val="20"/>
        </w:rPr>
      </w:pPr>
    </w:p>
    <w:p w14:paraId="7A5CC0AE" w14:textId="77777777" w:rsidR="001E03CB" w:rsidRPr="009A13D8" w:rsidRDefault="001E03CB" w:rsidP="009A13D8">
      <w:pPr>
        <w:autoSpaceDE w:val="0"/>
        <w:autoSpaceDN w:val="0"/>
        <w:adjustRightInd w:val="0"/>
        <w:spacing w:after="0"/>
        <w:rPr>
          <w:rFonts w:cs="Myriad-Bold"/>
          <w:b/>
          <w:bCs/>
        </w:rPr>
      </w:pPr>
      <w:r w:rsidRPr="009A13D8">
        <w:rPr>
          <w:rFonts w:cs="Myriad-Bold"/>
          <w:b/>
          <w:bCs/>
        </w:rPr>
        <w:t>Introduction</w:t>
      </w:r>
    </w:p>
    <w:p w14:paraId="5358DD14" w14:textId="77777777" w:rsidR="001E03CB" w:rsidRPr="009A13D8" w:rsidRDefault="001E03CB" w:rsidP="009A13D8">
      <w:pPr>
        <w:autoSpaceDE w:val="0"/>
        <w:autoSpaceDN w:val="0"/>
        <w:adjustRightInd w:val="0"/>
        <w:spacing w:after="0"/>
        <w:ind w:firstLine="720"/>
        <w:rPr>
          <w:rFonts w:cs="Myriad-Bold"/>
          <w:szCs w:val="20"/>
        </w:rPr>
      </w:pPr>
      <w:r w:rsidRPr="009A13D8">
        <w:rPr>
          <w:rFonts w:cs="Myriad-Bold"/>
          <w:szCs w:val="20"/>
        </w:rPr>
        <w:t>How can we develop both academic giftedness and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creative productivity? How can we develop the potentials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of all children? What services should be provided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to students who are identified for gifted and talented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programs, as opposed to enrichment opportunities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that should be provided for all students? How can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we modify the regular curriculum for high achieving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students? Can enrichment and gifted programs help to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develop academic gifts and talents? How can we help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children learn to think creatively and value opportunities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for creative, self-selected work? The Schoolwide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Enrichment Model (SEM) is the organizational framework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of our programming model that addresses these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questions. The model is organized around three service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delivery components, including (1) strength-based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student portfolio that contains information about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academic achievement, preferred areas of interests,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learning styles, and preferred modes of expression;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(2) curriculum compacting, a systematic procedure for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 xml:space="preserve">modifying and differentiating </w:t>
      </w:r>
      <w:r w:rsidRPr="009A13D8">
        <w:rPr>
          <w:rFonts w:cs="Myriad-Bold"/>
          <w:szCs w:val="20"/>
        </w:rPr>
        <w:lastRenderedPageBreak/>
        <w:t>the curriculum for high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achieving students; and (3) enrichment learning and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teaching, with three types of enrichment opportunities</w:t>
      </w:r>
      <w:r w:rsidR="00386DDB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based on the Enrichment Triad Model.</w:t>
      </w:r>
    </w:p>
    <w:p w14:paraId="13262A80" w14:textId="77777777" w:rsidR="00687030" w:rsidRDefault="001E03C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Myriad-Bold"/>
          <w:szCs w:val="20"/>
        </w:rPr>
        <w:t>The SEM also includes a continuum of services</w:t>
      </w:r>
      <w:r w:rsidR="00687030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concept that includes separate organizational approaches</w:t>
      </w:r>
      <w:r w:rsidR="00687030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(e.g., special classes, pull-out programs,</w:t>
      </w:r>
      <w:r w:rsidR="00687030">
        <w:rPr>
          <w:rFonts w:cs="Myriad-Bold"/>
          <w:szCs w:val="20"/>
        </w:rPr>
        <w:t xml:space="preserve"> </w:t>
      </w:r>
      <w:r w:rsidRPr="009A13D8">
        <w:rPr>
          <w:rFonts w:cs="Myriad-Bold"/>
          <w:szCs w:val="20"/>
        </w:rPr>
        <w:t>grade skipping, and differentiation in the regular</w:t>
      </w:r>
      <w:r w:rsidR="00687030">
        <w:rPr>
          <w:rFonts w:cs="Myriad-Bold"/>
          <w:szCs w:val="20"/>
        </w:rPr>
        <w:t xml:space="preserve"> </w:t>
      </w:r>
      <w:r w:rsidR="00C5657E" w:rsidRPr="009A13D8">
        <w:rPr>
          <w:rFonts w:cs="Times-Roman"/>
          <w:szCs w:val="20"/>
        </w:rPr>
        <w:t>classroom) which is the “one best way” to develop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high levels of talent in young people. Each approach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has advantages and disadvantages, but an integration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of services between and among various approaches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will maximize the value of any combination of organizational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structures. It will also provide opportunities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for more students than the 3</w:t>
      </w:r>
      <w:r w:rsidR="00FB030E">
        <w:rPr>
          <w:rFonts w:cs="Times-Roman"/>
          <w:szCs w:val="20"/>
        </w:rPr>
        <w:t>-</w:t>
      </w:r>
      <w:r w:rsidR="00C5657E" w:rsidRPr="009A13D8">
        <w:rPr>
          <w:rFonts w:cs="Times-Roman"/>
          <w:szCs w:val="20"/>
        </w:rPr>
        <w:t>5% usually served in</w:t>
      </w:r>
      <w:r w:rsidR="00687030">
        <w:rPr>
          <w:rFonts w:cs="Times-Roman"/>
          <w:szCs w:val="20"/>
        </w:rPr>
        <w:t xml:space="preserve"> </w:t>
      </w:r>
      <w:r w:rsidR="00C5657E" w:rsidRPr="009A13D8">
        <w:rPr>
          <w:rFonts w:cs="Times-Roman"/>
          <w:szCs w:val="20"/>
        </w:rPr>
        <w:t>traditional programs for gifted students.</w:t>
      </w:r>
    </w:p>
    <w:p w14:paraId="3A3928FF" w14:textId="77777777" w:rsidR="00C5657E" w:rsidRPr="009A13D8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3DE696D4" w14:textId="77777777" w:rsidR="00C5657E" w:rsidRPr="009A13D8" w:rsidRDefault="00C5657E" w:rsidP="00781843">
      <w:pPr>
        <w:autoSpaceDE w:val="0"/>
        <w:autoSpaceDN w:val="0"/>
        <w:adjustRightInd w:val="0"/>
        <w:spacing w:after="0"/>
        <w:rPr>
          <w:rFonts w:cs="Times-Roman"/>
          <w:b/>
          <w:bCs/>
        </w:rPr>
      </w:pPr>
      <w:r w:rsidRPr="009A13D8">
        <w:rPr>
          <w:rFonts w:cs="Times-Roman"/>
          <w:b/>
          <w:bCs/>
        </w:rPr>
        <w:t>A Brief History of the SEM</w:t>
      </w:r>
    </w:p>
    <w:p w14:paraId="523514D6" w14:textId="77777777" w:rsidR="00781843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 xml:space="preserve">The original Enrichment </w:t>
      </w:r>
      <w:r w:rsidR="001E672A" w:rsidRPr="009A13D8">
        <w:rPr>
          <w:rFonts w:cs="Times-Roman"/>
          <w:szCs w:val="20"/>
        </w:rPr>
        <w:t>Triad Model</w:t>
      </w:r>
      <w:r w:rsidRPr="009A13D8">
        <w:rPr>
          <w:rFonts w:cs="Times-Roman"/>
          <w:szCs w:val="20"/>
        </w:rPr>
        <w:t xml:space="preserve"> (Renzulli, 1977),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curriculum core of the SEM, was developed in the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mid-1970s and initially implemented as a gifted and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talented programming model in school districts in Connecticut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the northeast of the United States. The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model, initially field tested in several districts, proved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be quite popular and requests from all over the country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visitations to schools using the model and for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information about how to implement the model increased.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book about the Enrichment Triad Model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(Renzulli, 1977) was published, and increasing numbers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districts began implementing this approach. It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was at this point that a clear need was established for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about the effectiveness of the model and for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other vehicles that could provide technical assistance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interested educators to help develop programs in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their schools. Different types of programs based on The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Triad were designed and implemented by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classroom, gifted education, and enrichment teachers,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we began to see differences both in programs and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student productivity. Our curiosity was peaked, and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thus began almost 30 years of field testing, research,</w:t>
      </w:r>
      <w:r w:rsidR="00781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dissemination.</w:t>
      </w:r>
    </w:p>
    <w:p w14:paraId="596D3D11" w14:textId="77777777" w:rsidR="00C5657E" w:rsidRPr="009A13D8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4ECCA186" w14:textId="77777777" w:rsidR="00C5657E" w:rsidRPr="009A13D8" w:rsidRDefault="00C5657E" w:rsidP="008A1492">
      <w:pPr>
        <w:autoSpaceDE w:val="0"/>
        <w:autoSpaceDN w:val="0"/>
        <w:adjustRightInd w:val="0"/>
        <w:spacing w:after="0"/>
        <w:rPr>
          <w:rFonts w:cs="Times-Roman"/>
          <w:b/>
          <w:bCs/>
        </w:rPr>
      </w:pPr>
      <w:r w:rsidRPr="009A13D8">
        <w:rPr>
          <w:rFonts w:cs="Times-Roman"/>
          <w:b/>
          <w:bCs/>
        </w:rPr>
        <w:t>Theories Underlying Schoolwide</w:t>
      </w:r>
      <w:r w:rsidR="008A1492">
        <w:rPr>
          <w:rFonts w:cs="Times-Roman"/>
          <w:b/>
          <w:bCs/>
        </w:rPr>
        <w:t xml:space="preserve"> </w:t>
      </w:r>
      <w:r w:rsidRPr="009A13D8">
        <w:rPr>
          <w:rFonts w:cs="Times-Roman"/>
          <w:b/>
          <w:bCs/>
        </w:rPr>
        <w:t>Enrichment: The Renzulli Learning</w:t>
      </w:r>
      <w:r w:rsidR="008A1492">
        <w:rPr>
          <w:rFonts w:cs="Times-Roman"/>
          <w:b/>
          <w:bCs/>
        </w:rPr>
        <w:t xml:space="preserve"> </w:t>
      </w:r>
      <w:r w:rsidRPr="009A13D8">
        <w:rPr>
          <w:rFonts w:cs="Times-Roman"/>
          <w:b/>
          <w:bCs/>
        </w:rPr>
        <w:t>System</w:t>
      </w:r>
    </w:p>
    <w:p w14:paraId="1B5D5E2F" w14:textId="77777777" w:rsidR="00C5657E" w:rsidRPr="009A13D8" w:rsidRDefault="00C5657E" w:rsidP="008A1492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The Three-Ring Conception of Giftedness</w:t>
      </w:r>
    </w:p>
    <w:p w14:paraId="67F2F602" w14:textId="77777777" w:rsidR="00C5657E" w:rsidRPr="009A13D8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Present efforts to develop giftedness are based on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long history of previous theoretical or research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studies dealing with human abilities (Sternberg &amp;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Davidson, 1986) and a few general conclusions from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current research on giftedness. In their latest edited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volume on conceptions of giftedness, Sternberg &amp;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Davidson (2005) provide a critical background for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this discussion of the Schoolwide Enrichment Model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(SEM). The first conclusion is that giftedness is not a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unitary concept, but there are many manifestations of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gifts and talents and therefore single definitions cannot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adequately explain this multifaceted phenomenon.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confusion about present theories of giftedness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has led many researchers to develop new models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explaining this complicated concept, but most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agree that giftedness is developed over time and that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culture, abilities, environment, gender, opportunities,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chance contribute to the development of gifts and</w:t>
      </w:r>
      <w:r w:rsidR="008A149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talents.</w:t>
      </w:r>
    </w:p>
    <w:p w14:paraId="6ED488C2" w14:textId="77777777" w:rsidR="00C5657E" w:rsidRPr="009A13D8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SEM focuses on the development of both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academic and creative-productive giftedness. Creative</w:t>
      </w:r>
      <w:r w:rsidR="009C40F7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productive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giftedness describes those aspects of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human activity and involvement where a premium is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placed on the development of original material and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products that are purposefully designed to have an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impact on one or more target audiences. Learning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situations designed to promote creative-productive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giftedness emphasize the use and application of information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(content) and thinking skills in an integrated,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inductive, and real-problem-oriented manner. In the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SEM, traditional academic gifts are developed using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curriculum compacting, acceleration, differentiated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instruction, and various forms of academic enrichment.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Our focus on creative productivity complements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our efforts to increase academic challenge when we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attempt to transform the role of the student from that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a learner of lessons to one of a first-hand inquirer,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one who can experience the joys and frustrations of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creative productivity (Renzulli, 1977). This approach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different from the development of giftedness that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tends to emphasize deductive learning, and the acquisition,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storage, and retrieval of information. In other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words, creative-productive giftedness enables children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work on issues and areas of study that have personal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relevance to the student and that can be escalated to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appropriately challenging levels of investigative and</w:t>
      </w:r>
      <w:r w:rsidR="009C40F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creative activity.</w:t>
      </w:r>
    </w:p>
    <w:p w14:paraId="6A8F791A" w14:textId="77777777" w:rsidR="00A77717" w:rsidRPr="009A13D8" w:rsidRDefault="00C5657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Why is creative-productive giftedness important</w:t>
      </w:r>
      <w:r w:rsidR="00164E0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enough to question the traditional approach that has</w:t>
      </w:r>
      <w:r w:rsidR="00164E0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been used to select students for gifted programs on the</w:t>
      </w:r>
      <w:r w:rsidR="00164E0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basis of test scores? Why do some people want to rock</w:t>
      </w:r>
      <w:r w:rsidR="00164E0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boat by challenging a conception of giftedness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that can be numerically defined by simply giving a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test? The answers to these questions are simple and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yet compelling. Our research (Reis &amp; Renzulli, 1984;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Renzulli, 1978, 2005, 2006) has proven that there is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much more to identifying human potential than the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abilities revealed on traditional tests of intelligence,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aptitude, and achievement. Furthermore, history tells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us that it has been the creative and productive people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of the world, the producers rather than consumers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of knowledge, who have been recognized in history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as “truly gifted” individuals. Accordingly, the SEM</w:t>
      </w:r>
      <w:r w:rsidR="00164E00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integrates both opportunities for academic giftedness</w:t>
      </w:r>
      <w:r w:rsidR="002926B7">
        <w:rPr>
          <w:rFonts w:cs="Times-Roman"/>
          <w:szCs w:val="20"/>
        </w:rPr>
        <w:t xml:space="preserve"> </w:t>
      </w:r>
      <w:r w:rsidR="00A77717" w:rsidRPr="009A13D8">
        <w:rPr>
          <w:rFonts w:cs="Times-Roman"/>
          <w:szCs w:val="20"/>
        </w:rPr>
        <w:t>as well as creative-productive giftedness.</w:t>
      </w:r>
    </w:p>
    <w:p w14:paraId="1D25D9C0" w14:textId="77777777" w:rsidR="00982C0C" w:rsidRDefault="00A77717" w:rsidP="002926B7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SEM is based on Renzulli’s (1978) Three-Ring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Conception of Giftedness, which defines gifted behaviors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rather than gifted individuals. This conception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encompasses three interrelated components (see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Fig. 62.1) and is described as follows:</w:t>
      </w:r>
    </w:p>
    <w:p w14:paraId="501F6587" w14:textId="77777777" w:rsidR="00A77717" w:rsidRPr="002926B7" w:rsidRDefault="00A77717" w:rsidP="00982C0C">
      <w:pPr>
        <w:autoSpaceDE w:val="0"/>
        <w:autoSpaceDN w:val="0"/>
        <w:adjustRightInd w:val="0"/>
        <w:spacing w:after="0"/>
        <w:ind w:left="720"/>
        <w:rPr>
          <w:rFonts w:cs="Times-Roman"/>
          <w:szCs w:val="20"/>
        </w:rPr>
      </w:pPr>
      <w:r w:rsidRPr="009A13D8">
        <w:rPr>
          <w:rFonts w:cs="Times-Roman"/>
          <w:szCs w:val="17"/>
        </w:rPr>
        <w:t>Gifted behavior consists of traits and aptitudes that reflect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an interaction among three basic clusters of human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characteristics—above average ability, high levels of task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commitment, and high levels of creativity. Individuals capable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of developing gifted behavior are those possessing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or capable of developing this composite set of traits, using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them interactively, and applying them to any potentially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valuable area of human performance. Persons who manifest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or are capable of developing an interaction among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the three clusters require a wide variety of educational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opportunities and services that are not ordinarily provided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through regular instructional programs (Renzulli &amp;</w:t>
      </w:r>
      <w:r w:rsidR="002926B7">
        <w:rPr>
          <w:rFonts w:cs="Times-Roman"/>
          <w:szCs w:val="20"/>
        </w:rPr>
        <w:t xml:space="preserve"> </w:t>
      </w:r>
      <w:r w:rsidRPr="009A13D8">
        <w:rPr>
          <w:rFonts w:cs="Times-Roman"/>
          <w:szCs w:val="17"/>
        </w:rPr>
        <w:t>Reis, 1997, p. 8).</w:t>
      </w:r>
    </w:p>
    <w:p w14:paraId="5F86D085" w14:textId="77777777" w:rsidR="00982C0C" w:rsidRDefault="00A77717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Longitudinal research supports this distinction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between academic giftedness and creative/productive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giftedness. In Perleth, Sierwald, and Heller’s Munich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Longitudinal Study of Giftedness (1985</w:t>
      </w:r>
      <w:r w:rsidR="00FB030E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1989), for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example, differences were found between students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who demonstrated creative/productive giftedness as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opposed to traditional academic giftedness. Most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confusion and controversy surrounding the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definitions of giftedness can be placed into perspective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if we examine a few key questions. Is giftedness or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creativity an absolute or a relative concept? That is,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a person either gifted or not gifted (the absolute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view), or can varying degrees of gifted behaviors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developed in certain people, at certain times, and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under certain circumstances (the relative view)? (see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Fig. 62.2) Is giftedness or creativity a static concept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(i.e., you have or you do not have it) or is it a dynamic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concept (i.e., it varies within persons, cultures, and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among learning/performance situations)?</w:t>
      </w:r>
    </w:p>
    <w:p w14:paraId="51FA6E69" w14:textId="77777777" w:rsidR="00982C0C" w:rsidRDefault="00A77717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We believe that a fundamental change must occur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the way that we view giftedness. For the last two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decades, we have advocated </w:t>
      </w:r>
      <w:r w:rsidRPr="009A13D8">
        <w:rPr>
          <w:rFonts w:cs="Times-Roman"/>
          <w:i/>
          <w:iCs/>
          <w:szCs w:val="20"/>
        </w:rPr>
        <w:t>labeling the services students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>receive rather than labeling the students</w:t>
      </w:r>
      <w:r w:rsidRPr="009A13D8">
        <w:rPr>
          <w:rFonts w:cs="Times-Roman"/>
          <w:szCs w:val="20"/>
        </w:rPr>
        <w:t>, for we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believe that a shift should occur from an emphasis on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traditional concept of “being gifted” (or not being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gifted) to a concern about the </w:t>
      </w:r>
      <w:r w:rsidRPr="009A13D8">
        <w:rPr>
          <w:rFonts w:cs="Times-Roman"/>
          <w:i/>
          <w:iCs/>
          <w:szCs w:val="20"/>
        </w:rPr>
        <w:t>development of gifted and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 xml:space="preserve">creative behaviors </w:t>
      </w:r>
      <w:r w:rsidRPr="009A13D8">
        <w:rPr>
          <w:rFonts w:cs="Times-Roman"/>
          <w:szCs w:val="20"/>
        </w:rPr>
        <w:t>in students who have high potential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benefiting from special educational opportunities,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well as the provision of some types of enrichment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all students. This change in terminology may also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 the flexibility in both identification and programming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endeavors that encourages the inclusion of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at-risk and underachieving students in our programs.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Our ultimate goal is the development of a total school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program that benefits all students and concentrates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 making schools places for talent development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all young people.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We believe that </w:t>
      </w:r>
      <w:r w:rsidRPr="009A13D8">
        <w:rPr>
          <w:rFonts w:cs="Times-Roman"/>
          <w:i/>
          <w:iCs/>
          <w:szCs w:val="20"/>
        </w:rPr>
        <w:t>a rising tide</w:t>
      </w:r>
      <w:r w:rsidR="00982C0C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>lifts all ships</w:t>
      </w:r>
      <w:r w:rsidRPr="009A13D8">
        <w:rPr>
          <w:rFonts w:cs="Times-Roman"/>
          <w:szCs w:val="20"/>
        </w:rPr>
        <w:t>! Every student benefits, from our highest</w:t>
      </w:r>
      <w:r w:rsidR="00982C0C">
        <w:rPr>
          <w:rFonts w:cs="Times-Roman"/>
          <w:szCs w:val="20"/>
        </w:rPr>
        <w:t xml:space="preserve"> </w:t>
      </w:r>
      <w:r w:rsidR="007F0F90" w:rsidRPr="009A13D8">
        <w:rPr>
          <w:rFonts w:cs="Times-Roman"/>
          <w:szCs w:val="20"/>
        </w:rPr>
        <w:t>achievers to struggling learners, when schools create</w:t>
      </w:r>
      <w:r w:rsidR="00982C0C">
        <w:rPr>
          <w:rFonts w:cs="Times-Roman"/>
          <w:szCs w:val="20"/>
        </w:rPr>
        <w:t xml:space="preserve"> </w:t>
      </w:r>
      <w:r w:rsidR="007F0F90" w:rsidRPr="009A13D8">
        <w:rPr>
          <w:rFonts w:cs="Times-Roman"/>
          <w:szCs w:val="20"/>
        </w:rPr>
        <w:t>an atmosphere that respects individuality and diversity</w:t>
      </w:r>
      <w:r w:rsidR="00982C0C">
        <w:rPr>
          <w:rFonts w:cs="Times-Roman"/>
          <w:szCs w:val="20"/>
        </w:rPr>
        <w:t xml:space="preserve"> </w:t>
      </w:r>
      <w:r w:rsidR="007F0F90" w:rsidRPr="009A13D8">
        <w:rPr>
          <w:rFonts w:cs="Times-Roman"/>
          <w:szCs w:val="20"/>
        </w:rPr>
        <w:t>and when opportunities, resources, and encouragement</w:t>
      </w:r>
      <w:r w:rsidR="00982C0C">
        <w:rPr>
          <w:rFonts w:cs="Times-Roman"/>
          <w:szCs w:val="20"/>
        </w:rPr>
        <w:t xml:space="preserve"> </w:t>
      </w:r>
      <w:r w:rsidR="007F0F90" w:rsidRPr="009A13D8">
        <w:rPr>
          <w:rFonts w:cs="Times-Roman"/>
          <w:szCs w:val="20"/>
        </w:rPr>
        <w:t>are made available to maximize the strengths of all students.</w:t>
      </w:r>
    </w:p>
    <w:p w14:paraId="0F6A81CC" w14:textId="77777777" w:rsidR="007F0F90" w:rsidRPr="009A13D8" w:rsidRDefault="007F0F90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040225D0" w14:textId="77777777" w:rsidR="007F0F90" w:rsidRPr="009A13D8" w:rsidRDefault="007F0F90" w:rsidP="00C86B68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 xml:space="preserve">The Enrichment </w:t>
      </w:r>
      <w:r w:rsidR="001E672A" w:rsidRPr="009A13D8">
        <w:rPr>
          <w:rFonts w:cs="Times-Roman"/>
          <w:b/>
          <w:bCs/>
          <w:i/>
          <w:iCs/>
        </w:rPr>
        <w:t>Triad</w:t>
      </w:r>
      <w:r w:rsidR="001E672A">
        <w:rPr>
          <w:rFonts w:cs="Times-Roman"/>
          <w:b/>
          <w:bCs/>
          <w:i/>
          <w:iCs/>
        </w:rPr>
        <w:t xml:space="preserve"> </w:t>
      </w:r>
      <w:r w:rsidR="001E672A" w:rsidRPr="009A13D8">
        <w:rPr>
          <w:rFonts w:cs="Times-Roman"/>
          <w:b/>
          <w:bCs/>
          <w:i/>
          <w:iCs/>
        </w:rPr>
        <w:t>Model</w:t>
      </w:r>
    </w:p>
    <w:p w14:paraId="6171409A" w14:textId="77777777" w:rsidR="00C86B68" w:rsidRDefault="007F0F90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 order to understand the qualitative differences in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 guided by the Enrichment Triad Model it is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necessary to review briefly the pedagogy or learning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theory upon which Triad is based. All learning exists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 a continuum ranging from basic learning or deductive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(sometimes called didactic) approaches at one end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continuum to inductive or high-end learning approaches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 the other. This continuum exists for learners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all ages—from toddlers to doctoral students—and it exists in all areas of curricular activity. The continuum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also exists for learning that takes place in the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non-school world, the kind of learning that young people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adults pursue as they go about acquiring new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 for their jobs or working in the kitchen, the garden,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the workshop in the basement. (There are, of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course, occasions when a particular approach falls between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two ends of the continuum. However, for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purposes of clarifying the main features of deductive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inductive learning, we will treat the two models as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polar opposites.) Both models of learning and teaching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valuable in the overall process of schooling, and a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well-balanced school program must make use of basic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high-end approaches as well as the combined approaches</w:t>
      </w:r>
      <w:r w:rsidR="00C86B6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between the two ends of the continuum.</w:t>
      </w:r>
    </w:p>
    <w:p w14:paraId="50C83BF2" w14:textId="77777777" w:rsidR="007F0F90" w:rsidRPr="009A13D8" w:rsidRDefault="007F0F90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2CB09140" w14:textId="77777777" w:rsidR="007F0F90" w:rsidRPr="009A13D8" w:rsidRDefault="007F0F90" w:rsidP="00C86B68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The Deductive Model of Learning</w:t>
      </w:r>
    </w:p>
    <w:p w14:paraId="0CC11207" w14:textId="77777777" w:rsidR="007F0F90" w:rsidRPr="009A13D8" w:rsidRDefault="007F0F90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Although many names have been used to describe the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theories that define the ends of the continuum, we simply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refer to them as the Deductive Model and Inductive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Model. The Deductive Model is familiar to most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educators and guides most of what takes place in classrooms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other places where formal learning is pursued.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Inductive Model, on the other hand, represents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kind of learning that typically takes place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outside formal school situations. A good way to understand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difference between these two types of learning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to compare how learning takes place in a typical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classroom with how someone learns new material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skills in real-world situations. Classrooms are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characterized by relatively fixed time schedules, segmented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subjects or topics, predetermined sets of information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activities, tests and grades to determine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progress, and a pattern of organization that is largely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driven by the need to acquire and assimilate information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skills that are deemed important by curriculum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developers, textbook publishers, and committees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who prepare lists of standards. The Deductive Model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assumes that current learning will have transfer value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some future problem, course, occupational pursuit,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life activity, and it is built almost exclusively on information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(content) derived from predetermined standards,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textbook publishers, or test makers. We call this</w:t>
      </w:r>
      <w:r w:rsidR="0072119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kind of information “To-Be-Presented Knowledge.”</w:t>
      </w:r>
    </w:p>
    <w:p w14:paraId="65DD5ED9" w14:textId="77777777" w:rsidR="00F84CE0" w:rsidRDefault="007F0F90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Deductive learning is based mainly on the factory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 or human engineering conception of schooling.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underlying psychological theory is behaviorism,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the theorists most frequently associated with this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 are Ivan Pavlov, E. L. Thorndike, and B. F. Skinner.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 the center of this ideology is the ability to produce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desirable responses by presenting selected stimuli.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an educational setting, these theories translate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into a form of prescriptive and structured training for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purposes of knowledge and skill acquisition. A curriculum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based on the Deductive Model must be examined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terms of both what and how something is taught. The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issue of what is (or should be) taught has always been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subject of controversy, ranging from a conservative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position that emphasizes a classical or basic education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curriculum to a more liberal perspective that includes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contemporary knowledge and life adjustment experiences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(e.g., driver’s education, sex education, computer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literacy). Overall, American schools have been very effective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adapting what is taught to changes taking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place in society. Recent concerns about the kinds of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 that a rapidly changing job market will require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have accelerated curricular changes that prepare students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careers in technological fields and a postindustrial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society. Nowhere is this change more evident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than in the emphasis currently placed on thinking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skills, interdisciplinary approaches to curriculum, and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use of technology in the learning process. These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changes are favorable developments, but the Deductive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Model still limits learning because it </w:t>
      </w:r>
      <w:r w:rsidRPr="009A13D8">
        <w:rPr>
          <w:rFonts w:cs="Times-Roman"/>
          <w:i/>
          <w:iCs/>
          <w:szCs w:val="20"/>
        </w:rPr>
        <w:t xml:space="preserve">restricts </w:t>
      </w:r>
      <w:r w:rsidRPr="009A13D8">
        <w:rPr>
          <w:rFonts w:cs="Times-Roman"/>
          <w:szCs w:val="20"/>
        </w:rPr>
        <w:t>both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what is taught and how the material is taught. There is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nothing inherently “wrong” with the Deductive Model</w:t>
      </w:r>
      <w:r w:rsidR="00F84CE0">
        <w:rPr>
          <w:rFonts w:cs="Times-Roman"/>
          <w:szCs w:val="20"/>
        </w:rPr>
        <w:t xml:space="preserve"> </w:t>
      </w:r>
      <w:r w:rsidR="00DA209C" w:rsidRPr="009A13D8">
        <w:rPr>
          <w:rFonts w:cs="Times-Roman"/>
          <w:szCs w:val="20"/>
        </w:rPr>
        <w:t>however, it is based on a limited conception of the role</w:t>
      </w:r>
      <w:r w:rsidR="00F84CE0">
        <w:rPr>
          <w:rFonts w:cs="Times-Roman"/>
          <w:szCs w:val="20"/>
        </w:rPr>
        <w:t xml:space="preserve"> </w:t>
      </w:r>
      <w:r w:rsidR="00DA209C" w:rsidRPr="009A13D8">
        <w:rPr>
          <w:rFonts w:cs="Times-Roman"/>
          <w:szCs w:val="20"/>
        </w:rPr>
        <w:t>of the learner. It fails to consider variations in interests</w:t>
      </w:r>
      <w:r w:rsidR="00F84CE0">
        <w:rPr>
          <w:rFonts w:cs="Times-Roman"/>
          <w:szCs w:val="20"/>
        </w:rPr>
        <w:t xml:space="preserve"> </w:t>
      </w:r>
      <w:r w:rsidR="00DA209C" w:rsidRPr="009A13D8">
        <w:rPr>
          <w:rFonts w:cs="Times-Roman"/>
          <w:szCs w:val="20"/>
        </w:rPr>
        <w:t>and learning styles, and it always places students in the</w:t>
      </w:r>
      <w:r w:rsidR="00F84CE0">
        <w:rPr>
          <w:rFonts w:cs="Times-Roman"/>
          <w:szCs w:val="20"/>
        </w:rPr>
        <w:t xml:space="preserve"> </w:t>
      </w:r>
      <w:r w:rsidR="00DA209C" w:rsidRPr="009A13D8">
        <w:rPr>
          <w:rFonts w:cs="Times-Roman"/>
          <w:szCs w:val="20"/>
        </w:rPr>
        <w:t>roles of lesson learners and exercise doers rather than</w:t>
      </w:r>
      <w:r w:rsidR="00F84CE0">
        <w:rPr>
          <w:rFonts w:cs="Times-Roman"/>
          <w:szCs w:val="20"/>
        </w:rPr>
        <w:t xml:space="preserve"> </w:t>
      </w:r>
      <w:r w:rsidR="00DA209C" w:rsidRPr="009A13D8">
        <w:rPr>
          <w:rFonts w:cs="Times-Roman"/>
          <w:szCs w:val="20"/>
        </w:rPr>
        <w:t>authentic, first-hand inquirers.</w:t>
      </w:r>
    </w:p>
    <w:p w14:paraId="788C8F88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436B5967" w14:textId="77777777" w:rsidR="00DA209C" w:rsidRPr="009A13D8" w:rsidRDefault="00DA209C" w:rsidP="00F84CE0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The Inductive Model of Learning</w:t>
      </w:r>
    </w:p>
    <w:p w14:paraId="0851AE25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Inductive Model, on the other hand, represents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kinds of learning that ordinarily occurs outside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formal classrooms in places such as research laboratories,</w:t>
      </w:r>
      <w:r w:rsidR="00F84CE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artists’ studios and theaters, film and video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production sets, business offices, service agencies, and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almost any extracurricular activity in which products,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performances, or services are pursued. The names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most closely associated with inductive learning are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John Dewey, Maria Montessori, and Jerome Bruner.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type of learning advocated by these theorists can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summarized as knowledge and skill acquisition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gained from investigative and creative activities that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characterized by three requirements. First, there is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personalization of the topic or problem—the students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doing the work because they want to. Second,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 are using methods of investigation or creative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production that approximate the modus operandi of the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practicing professional, even if the methodology is at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more junior level than that used by adult researchers,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filmmakers, or business entrepreneurs. Third, the work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always geared toward the production of a product or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service that is intended to have an impact on a particular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audience. The information (content) and the skills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(process) that are the substance of inductive learning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situations are based on need-to-know and need-to-do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requirements, what we call “Just-In-Time Knowledge.”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importance of using Just-In-Time Knowledge (as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opposed to To-Be-Presented Knowledge), and as we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will see later, is one of the greatest assets of having a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technology-based learning system that takes advantage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vast storehouse of knowledge available on the</w:t>
      </w:r>
      <w:r w:rsidR="003F14F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Internet.</w:t>
      </w:r>
    </w:p>
    <w:p w14:paraId="4092803B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All resources, information, schedules, and sequences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events necessary for a high quality product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directed toward the goals of high-end learning, and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evaluation (rather than grading) is a function of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quality of the product or service as viewed through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eyes of a client, consumer, or other type of audience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member. Everything that results in learning in a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laboratory, for example, is for present use.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Therefore, looking up new information, conducting an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experiment, analyzing results, or preparing a report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focused primarily on the present rather than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storage of information for some future use. Even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amount of time devoted to a particular project cannot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determined in advance because the unfolding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nature of the problem and the unknown obstacles that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might be encountered as the project evolves prevent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rigid, predetermined schedules. What is undoubtedly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most significant about using relevant knowledge and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methods in this type of learning is that it is much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more likely to “stick” beyond the test-taking events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are typically associated with traditional didactic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learning.</w:t>
      </w:r>
    </w:p>
    <w:p w14:paraId="4F4E3984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 summary, the Deductive Model has dominated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ways in which most formal education is pursued,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the track record of the model has been less than impressive.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One need only reflect for a moment on his or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her own school experience to realize that with the exception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basic language and arithmetic, much of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compartmentalized material learned for some remote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ambiguous future situation is seldom used in the</w:t>
      </w:r>
      <w:r w:rsidR="0031743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conduct of daily activities. The names of famous generals,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geometric formulas, the periodic table, and parts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a plant learned outside an applicable, real-world situation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usually quickly forgotten. This is not to say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previously learned information is unimportant, but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its relevancy, meaningfulness, and endurance for future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use is minimized when it is almost always learned apart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from situations that have personalized meaning for the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learner.</w:t>
      </w:r>
    </w:p>
    <w:p w14:paraId="07014DE1" w14:textId="77777777" w:rsidR="00895754" w:rsidRDefault="00DA209C" w:rsidP="00895754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Inductive learning, on the other hand, focuses on the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 xml:space="preserve">present use </w:t>
      </w:r>
      <w:r w:rsidRPr="009A13D8">
        <w:rPr>
          <w:rFonts w:cs="Times-Roman"/>
          <w:szCs w:val="20"/>
        </w:rPr>
        <w:t>of content and processes as a way of integrating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material and thinking skills into the more enduring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structure of the learner’s repertoire. It is these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more enduring structures that have the greatest amount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transfer value for future use. When content and processes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learned in authentic, contextual situations,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they result in more meaningful uses of information and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problem-solving strategies than the learning that takes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place in artificial, preparation-for-the-test situations. If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individuals involved in inductive learning experiences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receive some choice in the domains and activities in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which they are engaged and if the experiences are directed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toward realistic and personalized goals, this type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learning creates its own relevancy and meaningfulness,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in the types of enrichment that we advocate in</w:t>
      </w:r>
      <w:r w:rsidR="0089575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SEM.</w:t>
      </w:r>
    </w:p>
    <w:p w14:paraId="58156ACE" w14:textId="77777777" w:rsidR="00DA209C" w:rsidRPr="009A13D8" w:rsidRDefault="00DA209C" w:rsidP="00895754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48AF5845" w14:textId="77777777" w:rsidR="00DA209C" w:rsidRPr="009A13D8" w:rsidRDefault="00DA209C" w:rsidP="00895754">
      <w:pPr>
        <w:autoSpaceDE w:val="0"/>
        <w:autoSpaceDN w:val="0"/>
        <w:adjustRightInd w:val="0"/>
        <w:spacing w:after="0"/>
        <w:rPr>
          <w:rFonts w:cs="Myriad-BoldItalic"/>
          <w:b/>
          <w:bCs/>
          <w:i/>
          <w:iCs/>
        </w:rPr>
      </w:pPr>
      <w:r w:rsidRPr="009A13D8">
        <w:rPr>
          <w:rFonts w:cs="Myriad-BoldItalic"/>
          <w:b/>
          <w:bCs/>
          <w:i/>
          <w:iCs/>
        </w:rPr>
        <w:t>High-End Learning Theory</w:t>
      </w:r>
    </w:p>
    <w:p w14:paraId="09DA3D70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Myriad-BoldItalic"/>
          <w:szCs w:val="20"/>
        </w:rPr>
      </w:pPr>
      <w:r w:rsidRPr="009A13D8">
        <w:rPr>
          <w:rFonts w:cs="Myriad-BoldItalic"/>
          <w:szCs w:val="20"/>
        </w:rPr>
        <w:t>To understand the essence of high-end learning is to</w:t>
      </w:r>
      <w:r w:rsidR="00895754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compare how learning takes place in a traditional classroom</w:t>
      </w:r>
      <w:r w:rsidR="00895754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with how someone might learn new material or</w:t>
      </w:r>
      <w:r w:rsidR="00895754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skills in real-world situations. The majority of classrooms</w:t>
      </w:r>
      <w:r w:rsidR="00895754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are characterized by an organizational pattern</w:t>
      </w:r>
      <w:r w:rsidR="00895754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largely driven by the need to acquire and assimilate information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 xml:space="preserve">and skills imposed from </w:t>
      </w:r>
      <w:r w:rsidRPr="009A13D8">
        <w:rPr>
          <w:rFonts w:cs="Myriad-BoldItalic"/>
          <w:i/>
          <w:iCs/>
          <w:szCs w:val="20"/>
        </w:rPr>
        <w:t xml:space="preserve">outside </w:t>
      </w:r>
      <w:r w:rsidRPr="009A13D8">
        <w:rPr>
          <w:rFonts w:cs="Myriad-BoldItalic"/>
          <w:szCs w:val="20"/>
        </w:rPr>
        <w:t>the classroom.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Contrast this type of learning with the more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natural chain of events that takes place in research laboratories,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business offices, or film studios. In these situations,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the goal is to produce a product or service.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All resources, information, schedules, and events are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directed toward this goal, and looking up new information,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conducting experiments, analyzing results, or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preparing a report are activities focused primarily on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 xml:space="preserve">the </w:t>
      </w:r>
      <w:r w:rsidRPr="009A13D8">
        <w:rPr>
          <w:rFonts w:cs="Myriad-BoldItalic"/>
          <w:i/>
          <w:iCs/>
          <w:szCs w:val="20"/>
        </w:rPr>
        <w:t xml:space="preserve">present need </w:t>
      </w:r>
      <w:r w:rsidRPr="009A13D8">
        <w:rPr>
          <w:rFonts w:cs="Myriad-BoldItalic"/>
          <w:szCs w:val="20"/>
        </w:rPr>
        <w:t>for information rather than for a distant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future. It is these present uses that have the greatest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amount of transfer value for future use. When content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and processes are learned in authentic, contextual situations,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they result in more meaningful uses of information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and problem-solving strategies than the learning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that takes place in overly structured, prescribed classroom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situations. In short, high-end learning applies two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concepts—(1) high-end learning and (2) the often used</w:t>
      </w:r>
      <w:r w:rsidR="00404BB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(and abused) concept, real-world problems—to the Inductive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Model of Learning.</w:t>
      </w:r>
    </w:p>
    <w:p w14:paraId="1473BA85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Myriad-BoldItalic"/>
          <w:szCs w:val="20"/>
        </w:rPr>
      </w:pPr>
      <w:r w:rsidRPr="009A13D8">
        <w:rPr>
          <w:rFonts w:cs="Myriad-BoldItalic"/>
          <w:szCs w:val="20"/>
        </w:rPr>
        <w:t>High-end learning is based on the ideas of a small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number of philosophers, theorists, and researchers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(e.g., John Dewey, Albert Bandura, Howard Gardner,</w:t>
      </w:r>
    </w:p>
    <w:p w14:paraId="36C74913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Myriad-BoldItalic"/>
          <w:szCs w:val="20"/>
        </w:rPr>
      </w:pPr>
      <w:r w:rsidRPr="009A13D8">
        <w:rPr>
          <w:rFonts w:cs="Myriad-BoldItalic"/>
          <w:szCs w:val="20"/>
        </w:rPr>
        <w:t>Maria Montessori, Philip Phenix, Robert Sternberg,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E. Paul Torrance, and Alfred North Whitehead). The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work of these theorists, coupled with our own research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and program development activities, has given rise to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the concept that we call “high-end learning.” The best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way to define this concept is in terms of the following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four principles:</w:t>
      </w:r>
    </w:p>
    <w:p w14:paraId="164B1FB1" w14:textId="77777777" w:rsidR="00DA209C" w:rsidRPr="009A13D8" w:rsidRDefault="00957F9F" w:rsidP="00957F9F">
      <w:pPr>
        <w:autoSpaceDE w:val="0"/>
        <w:autoSpaceDN w:val="0"/>
        <w:adjustRightInd w:val="0"/>
        <w:spacing w:after="0"/>
        <w:ind w:left="1080" w:hanging="360"/>
        <w:rPr>
          <w:rFonts w:cs="Myriad-BoldItalic"/>
          <w:szCs w:val="20"/>
        </w:rPr>
      </w:pPr>
      <w:r>
        <w:rPr>
          <w:rFonts w:cs="Myriad-BoldItalic"/>
          <w:szCs w:val="20"/>
        </w:rPr>
        <w:t>1.</w:t>
      </w:r>
      <w:r>
        <w:rPr>
          <w:rFonts w:cs="Myriad-BoldItalic"/>
          <w:szCs w:val="20"/>
        </w:rPr>
        <w:tab/>
      </w:r>
      <w:r w:rsidR="00DA209C" w:rsidRPr="009A13D8">
        <w:rPr>
          <w:rFonts w:cs="Myriad-BoldItalic"/>
          <w:szCs w:val="20"/>
        </w:rPr>
        <w:t>Each learner is unique, and, therefore, all learning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experiences must be examined in ways that take into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account the abilities, interests, and learning styles of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the individual.</w:t>
      </w:r>
    </w:p>
    <w:p w14:paraId="5B0B8F35" w14:textId="77777777" w:rsidR="00DA209C" w:rsidRPr="009A13D8" w:rsidRDefault="00957F9F" w:rsidP="00957F9F">
      <w:pPr>
        <w:autoSpaceDE w:val="0"/>
        <w:autoSpaceDN w:val="0"/>
        <w:adjustRightInd w:val="0"/>
        <w:spacing w:after="0"/>
        <w:ind w:left="1080" w:hanging="360"/>
        <w:rPr>
          <w:rFonts w:cs="Myriad-BoldItalic"/>
          <w:szCs w:val="20"/>
        </w:rPr>
      </w:pPr>
      <w:r>
        <w:rPr>
          <w:rFonts w:cs="Myriad-BoldItalic"/>
          <w:szCs w:val="20"/>
        </w:rPr>
        <w:t>2.</w:t>
      </w:r>
      <w:r>
        <w:rPr>
          <w:rFonts w:cs="Myriad-BoldItalic"/>
          <w:szCs w:val="20"/>
        </w:rPr>
        <w:tab/>
      </w:r>
      <w:r w:rsidR="00DA209C" w:rsidRPr="009A13D8">
        <w:rPr>
          <w:rFonts w:cs="Myriad-BoldItalic"/>
          <w:szCs w:val="20"/>
        </w:rPr>
        <w:t>Learning is more effective when students enjoy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what they are doing. Consequently, learning experiences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should be constructed and assessed with as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much concern for enjoyment as for other goals.</w:t>
      </w:r>
    </w:p>
    <w:p w14:paraId="6581D026" w14:textId="77777777" w:rsidR="00DA209C" w:rsidRPr="009A13D8" w:rsidRDefault="00957F9F" w:rsidP="00957F9F">
      <w:pPr>
        <w:autoSpaceDE w:val="0"/>
        <w:autoSpaceDN w:val="0"/>
        <w:adjustRightInd w:val="0"/>
        <w:spacing w:after="0"/>
        <w:ind w:left="1080" w:hanging="360"/>
        <w:rPr>
          <w:rFonts w:cs="Myriad-BoldItalic"/>
          <w:szCs w:val="20"/>
        </w:rPr>
      </w:pPr>
      <w:r>
        <w:rPr>
          <w:rFonts w:cs="Myriad-BoldItalic"/>
          <w:szCs w:val="20"/>
        </w:rPr>
        <w:t>3.</w:t>
      </w:r>
      <w:r>
        <w:rPr>
          <w:rFonts w:cs="Myriad-BoldItalic"/>
          <w:szCs w:val="20"/>
        </w:rPr>
        <w:tab/>
      </w:r>
      <w:r w:rsidR="00DA209C" w:rsidRPr="009A13D8">
        <w:rPr>
          <w:rFonts w:cs="Myriad-BoldItalic"/>
          <w:szCs w:val="20"/>
        </w:rPr>
        <w:t>Learning is more meaningful and enjoyable when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content (i.e., knowledge) and process (i.e., thinking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skills and methods of inquiry) are learned within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the context of a real and present problem. Therefore,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attention should be given to opportunities to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personalize student choice in problem selection, the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relevance of the problem for individuals and groups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who share a common interest in the problem, and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strategies for assisting students in personalizing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problems they might choose to study.</w:t>
      </w:r>
    </w:p>
    <w:p w14:paraId="401B3139" w14:textId="77777777" w:rsidR="00DA209C" w:rsidRPr="009A13D8" w:rsidRDefault="00957F9F" w:rsidP="00957F9F">
      <w:pPr>
        <w:autoSpaceDE w:val="0"/>
        <w:autoSpaceDN w:val="0"/>
        <w:adjustRightInd w:val="0"/>
        <w:spacing w:after="0"/>
        <w:ind w:left="1080" w:hanging="360"/>
        <w:rPr>
          <w:rFonts w:cs="Myriad-BoldItalic"/>
          <w:szCs w:val="20"/>
        </w:rPr>
      </w:pPr>
      <w:r>
        <w:rPr>
          <w:rFonts w:cs="Myriad-BoldItalic"/>
          <w:szCs w:val="20"/>
        </w:rPr>
        <w:t>4.</w:t>
      </w:r>
      <w:r>
        <w:rPr>
          <w:rFonts w:cs="Myriad-BoldItalic"/>
          <w:szCs w:val="20"/>
        </w:rPr>
        <w:tab/>
      </w:r>
      <w:r w:rsidR="00DA209C" w:rsidRPr="009A13D8">
        <w:rPr>
          <w:rFonts w:cs="Myriad-BoldItalic"/>
          <w:szCs w:val="20"/>
        </w:rPr>
        <w:t>Some formal instruction may be used in high-end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learning, but a major goal of this approach is to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>enhance knowledge and thinking skill acquisition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 xml:space="preserve">gained through </w:t>
      </w:r>
      <w:r w:rsidR="00DA209C" w:rsidRPr="009A13D8">
        <w:rPr>
          <w:rFonts w:cs="Myriad-BoldItalic"/>
          <w:i/>
          <w:iCs/>
          <w:szCs w:val="20"/>
        </w:rPr>
        <w:t xml:space="preserve">teacher instruction </w:t>
      </w:r>
      <w:r w:rsidR="00DA209C" w:rsidRPr="009A13D8">
        <w:rPr>
          <w:rFonts w:cs="Myriad-BoldItalic"/>
          <w:szCs w:val="20"/>
        </w:rPr>
        <w:t>with applications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szCs w:val="20"/>
        </w:rPr>
        <w:t xml:space="preserve">of knowledge and skills that result from </w:t>
      </w:r>
      <w:r w:rsidR="00DA209C" w:rsidRPr="009A13D8">
        <w:rPr>
          <w:rFonts w:cs="Myriad-BoldItalic"/>
          <w:i/>
          <w:iCs/>
          <w:szCs w:val="20"/>
        </w:rPr>
        <w:t>student</w:t>
      </w:r>
      <w:r>
        <w:rPr>
          <w:rFonts w:cs="Myriad-BoldItalic"/>
          <w:szCs w:val="20"/>
        </w:rPr>
        <w:t xml:space="preserve"> </w:t>
      </w:r>
      <w:r w:rsidR="00DA209C" w:rsidRPr="009A13D8">
        <w:rPr>
          <w:rFonts w:cs="Myriad-BoldItalic"/>
          <w:i/>
          <w:iCs/>
          <w:szCs w:val="20"/>
        </w:rPr>
        <w:t xml:space="preserve">construction </w:t>
      </w:r>
      <w:r w:rsidR="00DA209C" w:rsidRPr="009A13D8">
        <w:rPr>
          <w:rFonts w:cs="Myriad-BoldItalic"/>
          <w:szCs w:val="20"/>
        </w:rPr>
        <w:t>of meaningfulness.</w:t>
      </w:r>
    </w:p>
    <w:p w14:paraId="6E3C355D" w14:textId="77777777" w:rsidR="00DA209C" w:rsidRPr="009A13D8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Myriad-BoldItalic"/>
          <w:szCs w:val="20"/>
        </w:rPr>
      </w:pPr>
      <w:r w:rsidRPr="009A13D8">
        <w:rPr>
          <w:rFonts w:cs="Myriad-BoldItalic"/>
          <w:szCs w:val="20"/>
        </w:rPr>
        <w:t>Many educators have asked us how these principles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differ from the traditional goals of didactic learning.</w:t>
      </w:r>
      <w:r w:rsidR="00957F9F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To address these questions, we used an inductive rather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than deductive approach—that is, rather than making a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list from the theoretical literature or our own expectations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about goals and outcomes, we examined activities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taking place in high-end learning situations,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evaluated student work and teacher involvement, and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drew conclusions based on these actual experiences.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In other words, we did exactly what we are recommending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students do as they go about pursuing problems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through the use of the Renzulli Learning System.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After carefully examining the work of numerous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students and questioning many teachers who participated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in research on high-end learning, we were able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to identify the following list of specific outcomes. Not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all outcomes occurred in every learning situation, and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the levels to which any individual or group achieved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these outcomes vary.</w:t>
      </w:r>
    </w:p>
    <w:p w14:paraId="16D832F0" w14:textId="77777777" w:rsidR="00276F2C" w:rsidRPr="003853FE" w:rsidRDefault="00DA209C" w:rsidP="009A13D8">
      <w:pPr>
        <w:autoSpaceDE w:val="0"/>
        <w:autoSpaceDN w:val="0"/>
        <w:adjustRightInd w:val="0"/>
        <w:spacing w:after="0"/>
        <w:ind w:firstLine="720"/>
        <w:rPr>
          <w:rFonts w:cs="Myriad-BoldItalic"/>
          <w:szCs w:val="20"/>
        </w:rPr>
      </w:pPr>
      <w:r w:rsidRPr="009A13D8">
        <w:rPr>
          <w:rFonts w:cs="Myriad-BoldItalic"/>
          <w:szCs w:val="20"/>
        </w:rPr>
        <w:t>The ultimate goal of learning guided by these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four principles is to replace dependence and passive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learning with independence and engaged learning.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Although all but the most conservative educators will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agree with these principles and outcomes, controversy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exists about how these (or similar) principles and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outcomes may be applied in everyday school situations.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Some might view these principles as yet another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idealized list of generalities that cannot be easily manifested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in schools already overwhelmed by prescribed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curriculum and deductive models of teaching. For this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reason, we recommend setting aside some time during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which students will have opportunities to participate in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high-end learning experiences sometime during their</w:t>
      </w:r>
      <w:r w:rsidR="003853FE">
        <w:rPr>
          <w:rFonts w:cs="Myriad-BoldItalic"/>
          <w:szCs w:val="20"/>
        </w:rPr>
        <w:t xml:space="preserve"> </w:t>
      </w:r>
      <w:r w:rsidRPr="009A13D8">
        <w:rPr>
          <w:rFonts w:cs="Myriad-BoldItalic"/>
          <w:szCs w:val="20"/>
        </w:rPr>
        <w:t>school week. The most difficult part of facilitating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high-end learning is getting teachers to stop prescribing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and replace traditional instruction with the kinds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of “guide-on-the-side” responsibilities that are used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by mentors and coaches. People in these roles instruct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only when there is a direct need to accomplish a task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necessary for developing a product or service. Many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teachers who have served in extracurricular activities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such as yearbook advisors, drama club directors, 4-H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Club advisors, or athletic coaches already have the</w:t>
      </w:r>
      <w:r w:rsidR="003853FE">
        <w:rPr>
          <w:rFonts w:cs="Myriad-BoldItalic"/>
          <w:szCs w:val="20"/>
        </w:rPr>
        <w:t xml:space="preserve"> </w:t>
      </w:r>
      <w:r w:rsidR="00276F2C" w:rsidRPr="009A13D8">
        <w:rPr>
          <w:rFonts w:cs="Times-Roman"/>
          <w:szCs w:val="20"/>
        </w:rPr>
        <w:t>techniques necessary for high-end learning.</w:t>
      </w:r>
    </w:p>
    <w:p w14:paraId="7F26E84A" w14:textId="77777777" w:rsidR="00276F2C" w:rsidRPr="009A13D8" w:rsidRDefault="00276F2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teacher’s role in these activities is to guide students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they find and focus a real-world problem, lend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hand as they locate content and methodological resources,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help them understand how to use the resources.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example, an interest-based group of students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examined the incidence of acid rain in the northeastern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part of the United States. Using what we call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How-To Book obtained from the RLS web site, the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 taught students how to prepare slides for microscope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analysis and, with the aid of a microprojector,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showed them how to identify contaminants in their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rainwater samples. Direct instruction should take place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 xml:space="preserve">only </w:t>
      </w:r>
      <w:r w:rsidRPr="009A13D8">
        <w:rPr>
          <w:rFonts w:cs="Times-Roman"/>
          <w:szCs w:val="20"/>
        </w:rPr>
        <w:t>when the acquisition of a new skill needs some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explanation and demonstration by the teacher.</w:t>
      </w:r>
    </w:p>
    <w:p w14:paraId="12AA6D8D" w14:textId="77777777" w:rsidR="00276F2C" w:rsidRPr="009A13D8" w:rsidRDefault="00276F2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Enrichment Triad Model is the theoretical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“heart” of the SEM (Renzulli, 1977) and the pedagogical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basis of the Schoolwide Enrichment Model. It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was originally designed as a gifted program model to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encourage creative productivity on the part of young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people by exposing them to various topics, areas of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interest, and fields of study and to further train them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to </w:t>
      </w:r>
      <w:r w:rsidRPr="009A13D8">
        <w:rPr>
          <w:rFonts w:cs="Times-Roman"/>
          <w:i/>
          <w:iCs/>
          <w:szCs w:val="20"/>
        </w:rPr>
        <w:t xml:space="preserve">apply </w:t>
      </w:r>
      <w:r w:rsidRPr="009A13D8">
        <w:rPr>
          <w:rFonts w:cs="Times-Roman"/>
          <w:szCs w:val="20"/>
        </w:rPr>
        <w:t>advanced content, process-training skills, and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methodology training to self-selected areas of interest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using three types of enrichment. The original Triad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 has three types of enrichment (see Fig. 62.3):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Type I enrichment is designed to expose students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a wide variety of disciplines, topics, occupations,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hobbies, persons, places, and events that would not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ordinarily be covered in the regular curriculum. Type II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includes materials and methods designed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promote the development of thinking and feeling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processes. Type III enrichment involves students who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become interested in pursuing a self-selected area and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willing to commit the time necessary for advanced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content acquisition and process training in which they</w:t>
      </w:r>
      <w:r w:rsidR="003853F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assume the role of a first-hand inquirer.</w:t>
      </w:r>
    </w:p>
    <w:p w14:paraId="2F3967B5" w14:textId="77777777" w:rsidR="00F451DC" w:rsidRDefault="00276F2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A book written by a fifth grade student named</w:t>
      </w:r>
      <w:r w:rsidR="00F451D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Gretchen from Haynes School in Sudbury, MA,</w:t>
      </w:r>
      <w:r w:rsidR="00F451D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highlights the kinds of products produced when the</w:t>
      </w:r>
      <w:r w:rsidR="00F451D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Triad Model is used. Gretchen had two</w:t>
      </w:r>
      <w:r w:rsidR="00F451D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passionate interests as a fifth grader: the literature of</w:t>
      </w:r>
      <w:r w:rsidR="00F451D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Louisa May Alcott and cooking. Gretchen had read all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of Louisa May Alcott’s books and identified in each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book any specific food mentioned. She researched the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recipes of the time that would have been used to make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the food (such as buckwheat cakes), field-tested each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recipe (including making substitutions for ingredients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no longer available), and created an original cookbook.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Gretchen spent a year and a half working on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a cookbook that combined vignettes of scenes from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i/>
          <w:iCs/>
          <w:szCs w:val="20"/>
        </w:rPr>
        <w:t xml:space="preserve">Little Women </w:t>
      </w:r>
      <w:r w:rsidR="00EF3D69" w:rsidRPr="009A13D8">
        <w:rPr>
          <w:rFonts w:cs="Times-Roman"/>
          <w:szCs w:val="20"/>
        </w:rPr>
        <w:t xml:space="preserve">and </w:t>
      </w:r>
      <w:r w:rsidR="00EF3D69" w:rsidRPr="009A13D8">
        <w:rPr>
          <w:rFonts w:cs="Times-Roman"/>
          <w:i/>
          <w:iCs/>
          <w:szCs w:val="20"/>
        </w:rPr>
        <w:t xml:space="preserve">Little Men </w:t>
      </w:r>
      <w:r w:rsidR="00EF3D69" w:rsidRPr="009A13D8">
        <w:rPr>
          <w:rFonts w:cs="Times-Roman"/>
          <w:szCs w:val="20"/>
        </w:rPr>
        <w:t>with many authentic 19th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century recipes for making the foods described in the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 xml:space="preserve">novels. </w:t>
      </w:r>
      <w:r w:rsidR="00EF3D69" w:rsidRPr="009A13D8">
        <w:rPr>
          <w:rFonts w:cs="Times-Roman"/>
          <w:i/>
          <w:iCs/>
          <w:szCs w:val="20"/>
        </w:rPr>
        <w:t xml:space="preserve">The Louisa May Alcott Cookbook </w:t>
      </w:r>
      <w:r w:rsidR="00EF3D69" w:rsidRPr="009A13D8">
        <w:rPr>
          <w:rFonts w:cs="Times-Roman"/>
          <w:szCs w:val="20"/>
        </w:rPr>
        <w:t>was accepted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and became the first book contracted by Little Brown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with a child author. In Gretchen’s Type III, both the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process she used and the final product involved high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levels of creative engagement and clear evidence of</w:t>
      </w:r>
      <w:r w:rsidR="00F451DC">
        <w:rPr>
          <w:rFonts w:cs="Times-Roman"/>
          <w:szCs w:val="20"/>
        </w:rPr>
        <w:t xml:space="preserve"> </w:t>
      </w:r>
      <w:r w:rsidR="00EF3D69" w:rsidRPr="009A13D8">
        <w:rPr>
          <w:rFonts w:cs="Times-Roman"/>
          <w:szCs w:val="20"/>
        </w:rPr>
        <w:t>creative work.</w:t>
      </w:r>
    </w:p>
    <w:p w14:paraId="484C480C" w14:textId="77777777" w:rsidR="00EF3D69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3174BE2A" w14:textId="77777777" w:rsidR="00EF3D69" w:rsidRPr="009A13D8" w:rsidRDefault="00EF3D69" w:rsidP="00F451DC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“Real-World Problem” Defined</w:t>
      </w:r>
    </w:p>
    <w:p w14:paraId="66B027DF" w14:textId="77777777" w:rsidR="00EF3D69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term “real-world problem” has been tossed around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 freely and easily in education circles these days that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it has become little more than a hollow clich</w:t>
      </w:r>
      <w:r w:rsidR="00873B2C">
        <w:rPr>
          <w:rFonts w:cs="Times-Roman"/>
          <w:szCs w:val="20"/>
        </w:rPr>
        <w:t>é</w:t>
      </w:r>
      <w:r w:rsidRPr="009A13D8">
        <w:rPr>
          <w:rFonts w:cs="Times-Roman"/>
          <w:szCs w:val="20"/>
        </w:rPr>
        <w:t>. Because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good deal of the focus of high-end learning is on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pursuit of real-world problems, we feel obligated to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 the reader with as precise a definition as possible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about this oft-used but frequently elusive (and illusive)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term. High-end learning situations are designed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promote the kind of student engagement described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above, and a key concept in organizing and delivering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services for this type of learning is </w:t>
      </w:r>
      <w:r w:rsidRPr="009A13D8">
        <w:rPr>
          <w:rFonts w:cs="Times-Roman"/>
          <w:i/>
          <w:iCs/>
          <w:szCs w:val="20"/>
        </w:rPr>
        <w:t>application</w:t>
      </w:r>
      <w:r w:rsidRPr="009A13D8">
        <w:rPr>
          <w:rFonts w:cs="Times-Roman"/>
          <w:szCs w:val="20"/>
        </w:rPr>
        <w:t xml:space="preserve">. </w:t>
      </w:r>
      <w:r w:rsidR="001E672A" w:rsidRPr="009A13D8">
        <w:rPr>
          <w:rFonts w:cs="Times-Roman"/>
          <w:szCs w:val="20"/>
        </w:rPr>
        <w:t>High end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learning consists of </w:t>
      </w:r>
      <w:r w:rsidRPr="009A13D8">
        <w:rPr>
          <w:rFonts w:cs="Times-Roman"/>
          <w:i/>
          <w:iCs/>
          <w:szCs w:val="20"/>
        </w:rPr>
        <w:t xml:space="preserve">applying </w:t>
      </w:r>
      <w:r w:rsidRPr="009A13D8">
        <w:rPr>
          <w:rFonts w:cs="Times-Roman"/>
          <w:szCs w:val="20"/>
        </w:rPr>
        <w:t>relevant knowledge,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skills, creative and critical thinking skills, and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interpersonal skills to the solution of real problems.</w:t>
      </w:r>
    </w:p>
    <w:p w14:paraId="0EF69551" w14:textId="77777777" w:rsidR="00873B2C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High-end learning focuses on the pursuit of real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problems and should be viewed as the vehicle through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which everything—from basic skills to advanced content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processes—comes together in the form of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student-developed products and services. In much the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same way that all the separate but interrelated parts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an automobile come together at an assembly plant,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 view this form of learning as an assembly plant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mind. This kind of learning represents a synthesis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an application of content, process, and personal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involvement. The student’s role is transformed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from one of lesson learner to first-hand inquirer, and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role of the teacher changes from an instructor and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disseminator of knowledge to a combination of coach,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 procurer, mentor, and, sometimes, a partner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colleague. Although products play an important role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creating these authentic learning situations, the development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application of a wide range of cognitive,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affective, and motivational processes are the major</w:t>
      </w:r>
      <w:r w:rsidR="00873B2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goals of this type of learning.</w:t>
      </w:r>
    </w:p>
    <w:p w14:paraId="24CB0F35" w14:textId="77777777" w:rsidR="00EF3D69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1D13225F" w14:textId="77777777" w:rsidR="00EF3D69" w:rsidRPr="009A13D8" w:rsidRDefault="00EF3D69" w:rsidP="00D56F5C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The Renzulli Learning System: A Four-Step</w:t>
      </w:r>
      <w:r w:rsidR="00D56F5C">
        <w:rPr>
          <w:rFonts w:cs="Times-Roman"/>
          <w:b/>
          <w:bCs/>
          <w:i/>
          <w:iCs/>
        </w:rPr>
        <w:t xml:space="preserve"> </w:t>
      </w:r>
      <w:r w:rsidRPr="009A13D8">
        <w:rPr>
          <w:rFonts w:cs="Times-Roman"/>
          <w:b/>
          <w:bCs/>
          <w:i/>
          <w:iCs/>
        </w:rPr>
        <w:t>Procedure</w:t>
      </w:r>
    </w:p>
    <w:p w14:paraId="021A603F" w14:textId="77777777" w:rsidR="00EF3D69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Every teacher has had the satisfaction of seeing a child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“turn on” to a topic or a school experience that demonstrates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true joy and excitement of both learning and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teaching. We have sometimes wondered how and why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these high points in teaching occur, why they do not occur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more frequently, and why more students are not engaged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highly positive learning experiences. Teachers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also painfully aware of the boredom and lack of interest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so many of our young people express about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 much of the work they do in school. Highly prescriptive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curriculum guides, endless lists of standards to be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covered, and relentless pressure to increase achievement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test scores have often prevented us from doing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kind of teaching that results in those joyous but rare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times when we have seen truly remarkable engagement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learning.</w:t>
      </w:r>
    </w:p>
    <w:p w14:paraId="48EAFA2C" w14:textId="77777777" w:rsidR="00EF3D69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One teacher we interviewed as part of a research</w:t>
      </w:r>
      <w:r w:rsidR="00D56F5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 dealing with high engagement in learning said,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“I could easily improve student enthusiasm, enjoyment,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engagement if I had about a dozen teaching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assistants in my classroom!” Comments like these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combined with the understanding that an almost infinite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number of resources are now available through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Internet inspired the development of the Renzulli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 System (RLS) at the University of Connecticut’s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Neag School of Education. With sponsorship by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University of Connecticut Research and Development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Corporation and income from subscriptions the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system continues to be developed and researched to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 the highest levels of learning and student engagement.</w:t>
      </w:r>
      <w:r w:rsidR="00C20CB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 how does this happen?</w:t>
      </w:r>
    </w:p>
    <w:p w14:paraId="798C470B" w14:textId="77777777" w:rsidR="00295D0E" w:rsidRPr="009A13D8" w:rsidRDefault="00EF3D69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use of instructional technology, and especially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Internet, has evolved rapidly over the past decade.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First “generation” use of technology consisted mainly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what might be called worksheets-online, with the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added advantage of providing students with immediate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feedback about correct responses and subroutines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for remediating incorrect answers. This generation was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not unlike the teaching machines of the 1950s. The next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generation consisted mainly of courses-online, and although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this innovation enabled students to have access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to teachers and professors with expertise beyond what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might be available locally, it usually followed the same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pedagogy as traditional courses (i.e., read the chapter,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answer questions, take a test). The third generation was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a great leap forward because of the advent of hypertext.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Students could now click on highlighted items in online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text to pursue additional, more advanced information,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and the kinds of scaffolding that consumes more time</w:t>
      </w:r>
      <w:r w:rsidR="00C772FD">
        <w:rPr>
          <w:rFonts w:cs="Times-Roman"/>
          <w:szCs w:val="20"/>
        </w:rPr>
        <w:t xml:space="preserve"> </w:t>
      </w:r>
      <w:r w:rsidR="00295D0E" w:rsidRPr="009A13D8">
        <w:rPr>
          <w:rFonts w:cs="Times-Roman"/>
          <w:szCs w:val="20"/>
        </w:rPr>
        <w:t>than most teachers can devote to individualized learning.</w:t>
      </w:r>
    </w:p>
    <w:p w14:paraId="158E78C5" w14:textId="77777777" w:rsidR="00295D0E" w:rsidRPr="009A13D8" w:rsidRDefault="00295D0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Renzulli Learning System might best be viewed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the next generation of applying instructional technology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to the learning process. This program is </w:t>
      </w:r>
      <w:r w:rsidRPr="009A13D8">
        <w:rPr>
          <w:rFonts w:cs="Times-Roman"/>
          <w:i/>
          <w:iCs/>
          <w:szCs w:val="20"/>
        </w:rPr>
        <w:t xml:space="preserve">not </w:t>
      </w:r>
      <w:r w:rsidRPr="009A13D8">
        <w:rPr>
          <w:rFonts w:cs="Times-Roman"/>
          <w:szCs w:val="20"/>
        </w:rPr>
        <w:t>a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variation of earlier generations of popular e-learning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programs or web-surfing devices being offered by numerous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software companies. It is a totally unique use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Internet that combines computer-based strength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assessment with search engine technology, thus allowing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true differentiation in the matching of thousands of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carefully selected resources to individual strengths as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well as learning styles and interests. The RLS also has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what might best be called theoretical integrity because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it is based on high-end learning theory in the form of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Enrichment Triad Model (Renzulli, 1977) and numerous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studies dealing with model implementation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(Reis &amp; Renzulli, 1994). With minimal skills in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use of the Internet, and only a small amount of the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teacher’s time, schools easily make use of a system that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gives teachers the equivalent of “a dozen assistants” in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their classrooms. The Renzulli Learning System is a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four-step procedure that is based on more than 30 years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research and development dealing with the diagnosis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promotion of advanced level thinking skills, motivation,</w:t>
      </w:r>
      <w:r w:rsidR="00C772F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creativity, and engagement in learning.</w:t>
      </w:r>
    </w:p>
    <w:p w14:paraId="15BBD624" w14:textId="77777777" w:rsidR="00295D0E" w:rsidRPr="009A13D8" w:rsidRDefault="00295D0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i/>
          <w:iCs/>
          <w:szCs w:val="20"/>
        </w:rPr>
        <w:t>Step 1: Strength Assessment Using the Electronic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 xml:space="preserve">Learning Profile. </w:t>
      </w:r>
      <w:r w:rsidRPr="009A13D8">
        <w:rPr>
          <w:rFonts w:cs="Times-Roman"/>
          <w:szCs w:val="20"/>
        </w:rPr>
        <w:t>The first step consists of a computer</w:t>
      </w:r>
      <w:r w:rsidR="00AE6F24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based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diagnostic assessment that creates a profile of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each student’s academic strengths, interests, learning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styles, and preferred modes of expression. The online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assessment, which takes about 30 minutes, results in</w:t>
      </w:r>
      <w:r w:rsidR="00AE6F24" w:rsidRPr="00AE6F24">
        <w:rPr>
          <w:rFonts w:cs="Times-Roman"/>
          <w:iCs/>
          <w:szCs w:val="20"/>
        </w:rPr>
        <w:t xml:space="preserve"> </w:t>
      </w:r>
      <w:r w:rsidRPr="009A13D8">
        <w:rPr>
          <w:rFonts w:cs="Times-Roman"/>
          <w:szCs w:val="20"/>
        </w:rPr>
        <w:t>a personalized profile that highlights individual student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strengths and sets the stage for step two of the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RLS. The profile acts like a compass for the second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step, which is a differentiation search engine that examines</w:t>
      </w:r>
      <w:r w:rsidR="00AE6F24">
        <w:rPr>
          <w:rFonts w:cs="Times-Roman"/>
          <w:i/>
          <w:iCs/>
          <w:szCs w:val="20"/>
        </w:rPr>
        <w:t xml:space="preserve"> </w:t>
      </w:r>
      <w:r w:rsidRPr="009A13D8">
        <w:rPr>
          <w:rFonts w:cs="Times-Roman"/>
          <w:szCs w:val="20"/>
        </w:rPr>
        <w:t>thousands of resources that relate specifically</w:t>
      </w:r>
      <w:r w:rsidR="00AE6F24" w:rsidRPr="00AE6F24">
        <w:rPr>
          <w:rFonts w:cs="Times-Roman"/>
          <w:iCs/>
          <w:szCs w:val="20"/>
        </w:rPr>
        <w:t xml:space="preserve"> </w:t>
      </w:r>
      <w:r w:rsidRPr="009A13D8">
        <w:rPr>
          <w:rFonts w:cs="Times-Roman"/>
          <w:szCs w:val="20"/>
        </w:rPr>
        <w:t>to each student’s profile. Student profiles can also be</w:t>
      </w:r>
      <w:r w:rsidR="00AE6F24" w:rsidRPr="00AE6F24">
        <w:rPr>
          <w:rFonts w:cs="Times-Roman"/>
          <w:iCs/>
          <w:szCs w:val="20"/>
        </w:rPr>
        <w:t xml:space="preserve"> </w:t>
      </w:r>
      <w:r w:rsidRPr="009A13D8">
        <w:rPr>
          <w:rFonts w:cs="Times-Roman"/>
          <w:szCs w:val="20"/>
        </w:rPr>
        <w:t>used to form groups of students who share common interests.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project management tool guides students and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teachers to use specifically selected resources for assigned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curricular activities, independent or small group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investigative projects, and a wide variety of challenging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experiences. Another management tool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enables teachers to form instructional groups and enrichment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clusters based on interests and learning style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preferences. Teachers have instant access to student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profiles, all sites visited by students on the web, and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amount of time spent in each activity. Parents may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also access their own child’s profile and web activities,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in order to promote parent involvement, there are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opportunities for students to work on some of their favorite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activities with their parents.</w:t>
      </w:r>
    </w:p>
    <w:p w14:paraId="6212DBDF" w14:textId="77777777" w:rsidR="00295D0E" w:rsidRPr="009A13D8" w:rsidRDefault="00295D0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i/>
          <w:iCs/>
          <w:szCs w:val="20"/>
        </w:rPr>
        <w:t xml:space="preserve">Step 2: Enrichment Differentiation Databases. </w:t>
      </w:r>
      <w:r w:rsidRPr="009A13D8">
        <w:rPr>
          <w:rFonts w:cs="Times-Roman"/>
          <w:szCs w:val="20"/>
        </w:rPr>
        <w:t>In</w:t>
      </w:r>
      <w:r w:rsidR="00AE6F2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step two the differentiation search engine matches student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strengths and interests to an enrichment database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17,000 enrichment activities, materials, resources,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opportunities for further study that are grouped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into several categories: Virtual Field Trips; Real Field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Trips; Creativity Training; Critical Thinking; Summer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Programs; Projects and Independent Study; Online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Classes and Activities; Research Skills; Contests and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Competitions; Research; Fiction and Non-Fiction</w:t>
      </w:r>
      <w:r w:rsidR="00D236B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Books; and How-To Books.</w:t>
      </w:r>
    </w:p>
    <w:p w14:paraId="0889EE14" w14:textId="77777777" w:rsidR="002F20AB" w:rsidRDefault="00295D0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These resources are not intended to inform students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about new information or to occupy time surfing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around the web. Rather, they are used as vehicles for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helping students find and focus a problem or creative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exploration of personal interest that they might like to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pursue in greater depth. Many of the resources provide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methods of inquiry, advanced level thinking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creative problem-solving skills, and investigative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approaches that approximate the modus operandi of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practicing professional. Students are guided toward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the </w:t>
      </w:r>
      <w:r w:rsidRPr="009A13D8">
        <w:rPr>
          <w:rFonts w:cs="Times-Roman"/>
          <w:i/>
          <w:iCs/>
          <w:szCs w:val="20"/>
        </w:rPr>
        <w:t xml:space="preserve">application of knowledge </w:t>
      </w:r>
      <w:r w:rsidRPr="009A13D8">
        <w:rPr>
          <w:rFonts w:cs="Times-Roman"/>
          <w:szCs w:val="20"/>
        </w:rPr>
        <w:t>to the development of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original research studies, creative projects, and action</w:t>
      </w:r>
      <w:r w:rsidR="002F20AB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oriented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undertakings that put knowledge to work in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personally meaningful areas of interest. The resources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also provide students with suggestions for outlets and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audiences for their creative products. The RLS helps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accomplish the goals of high-end learning for students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varying interests, abilities, and learning styles and</w:t>
      </w:r>
      <w:r w:rsidR="002F20A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who have their own unique vision for creative products.</w:t>
      </w:r>
    </w:p>
    <w:p w14:paraId="2E7F369B" w14:textId="77777777" w:rsidR="000D2ACC" w:rsidRPr="009A13D8" w:rsidRDefault="00295D0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Teachers are also provided with multiple resources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managing the individualized activities of their stu</w:t>
      </w:r>
      <w:r w:rsidR="000D2ACC" w:rsidRPr="009A13D8">
        <w:rPr>
          <w:rFonts w:cs="Times-Roman"/>
          <w:szCs w:val="20"/>
        </w:rPr>
        <w:t>dents: A set of learning maps is provided for each of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the 14 enrichment resource databases and for the many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other resources available, teachers can download numerous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curricular activities for use in their classrooms,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and management tools classify and cross-reference activities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by subject area, thinking skill, and subject matter</w:t>
      </w:r>
      <w:r w:rsidR="00CF526A"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standards.</w:t>
      </w:r>
    </w:p>
    <w:p w14:paraId="615E9AC5" w14:textId="77777777" w:rsidR="000D2ACC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Our goal in this approach to learning is to promote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 levels of engagement by providing a vehicle that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enables a student’s engagement in </w:t>
      </w:r>
      <w:r w:rsidRPr="009A13D8">
        <w:rPr>
          <w:rFonts w:cs="Times-Roman"/>
          <w:i/>
          <w:iCs/>
          <w:szCs w:val="20"/>
        </w:rPr>
        <w:t>thinking, feeling,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>and doing like a practicing professional</w:t>
      </w:r>
      <w:r w:rsidRPr="009A13D8">
        <w:rPr>
          <w:rFonts w:cs="Times-Roman"/>
          <w:szCs w:val="20"/>
        </w:rPr>
        <w:t>, even if they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operating at a more junior level than adult scientists,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artists, writers, engineers, or other adults who pursue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knowledge in professional ways.</w:t>
      </w:r>
    </w:p>
    <w:p w14:paraId="056455D5" w14:textId="77777777" w:rsidR="000D2ACC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Research on the role of student engagement is clear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unequivocal—high engagement results in higher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achievement, improved self-concept and self-efficacy,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more favorable attitudes toward school and learning.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strong body of research points out the crucial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difference between time-spent and time-engaged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school achievement. In the recently published international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PISA (2006) study, the single criterion that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distinguished between nations with the highest and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lowest levels of student achievement was the degree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which students were engaged in their studies. This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finding took into account demographic factors such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ethnicity and the socioeconomic differences among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groups studied</w:t>
      </w:r>
      <w:r w:rsidRPr="009A13D8">
        <w:rPr>
          <w:rFonts w:cs="Times-Roman"/>
          <w:b/>
          <w:bCs/>
          <w:szCs w:val="20"/>
        </w:rPr>
        <w:t xml:space="preserve">. </w:t>
      </w:r>
      <w:r w:rsidRPr="009A13D8">
        <w:rPr>
          <w:rFonts w:cs="Times-Roman"/>
          <w:szCs w:val="20"/>
        </w:rPr>
        <w:t>In a longitudinal study comparing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time-spent vs. time-engaged on the achievement of at</w:t>
      </w:r>
      <w:r w:rsidR="00CF526A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risk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students, Greenwood (1991) found that conventional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instructional practices were responsible for the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students’ increased risk of academic delay. A study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by Ainley (1993) reported that there were important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differences in achievement outcomes favoring engaged</w:t>
      </w:r>
      <w:r w:rsidR="00CF526A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over disengaged students of similar ability.</w:t>
      </w:r>
    </w:p>
    <w:p w14:paraId="753D6CD2" w14:textId="77777777" w:rsidR="000D2ACC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resources available in step two also provide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 with places where they can pursue advanced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level training in their strength areas and areas of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personal interest. Online courses and summer programs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focus on specific academic strengths and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creative talents are ways that any school or parent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can direct highly able and motivated students to resources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may not be available in the regular school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program.</w:t>
      </w:r>
    </w:p>
    <w:p w14:paraId="5084A714" w14:textId="77777777" w:rsidR="000D2ACC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i/>
          <w:iCs/>
          <w:szCs w:val="20"/>
        </w:rPr>
        <w:t xml:space="preserve">Step 3: The Wizard Project Maker. </w:t>
      </w:r>
      <w:r w:rsidRPr="009A13D8">
        <w:rPr>
          <w:rFonts w:cs="Times-Roman"/>
          <w:szCs w:val="20"/>
        </w:rPr>
        <w:t>A special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feature of the Renzulli Learning System is a project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organization and management plan for students and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teachers called “The Wizard Project Maker.” This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guide allows teachers to help students use their web</w:t>
      </w:r>
      <w:r w:rsidR="00417371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based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explorations for original research, investigative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projects, and the development of a wide variety of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creative undertakings. The sophisticated software used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this tool automatically locates potentially relevant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web-based resources that can be used in connection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the student’s investigative activity. This management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device is designed to fulfill the requirements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a Type III enrichment experience, which is the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highest level of enrichment described in the Enrichment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Triad Model. Specifically, the Wizard Project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Maker provides students with the metacognitive skills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support to:</w:t>
      </w:r>
    </w:p>
    <w:p w14:paraId="0C0A8E99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Define a project and set a goal</w:t>
      </w:r>
    </w:p>
    <w:p w14:paraId="0C0D3F61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Identify and evaluate both the resources to which</w:t>
      </w:r>
      <w:r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they have access and the resources they need (e.g.,</w:t>
      </w:r>
      <w:r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time, Internet sites, teacher or mentor assistance)</w:t>
      </w:r>
    </w:p>
    <w:p w14:paraId="73451DC3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Prioritize and refine goals</w:t>
      </w:r>
    </w:p>
    <w:p w14:paraId="3D93C484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Balance the resources needed to meet multiple goals</w:t>
      </w:r>
    </w:p>
    <w:p w14:paraId="68E6CD66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Learn from past actions, projecting future outcomes</w:t>
      </w:r>
    </w:p>
    <w:p w14:paraId="7962ACE6" w14:textId="77777777" w:rsidR="000D2ACC" w:rsidRPr="009A13D8" w:rsidRDefault="00417371" w:rsidP="00417371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0D2ACC" w:rsidRPr="009A13D8">
        <w:rPr>
          <w:rFonts w:cs="Times-Roman"/>
          <w:szCs w:val="20"/>
        </w:rPr>
        <w:t>Monitor progress, making necessary adjustments as</w:t>
      </w:r>
      <w:r>
        <w:rPr>
          <w:rFonts w:cs="Times-Roman"/>
          <w:szCs w:val="20"/>
        </w:rPr>
        <w:t xml:space="preserve"> </w:t>
      </w:r>
      <w:r w:rsidR="000D2ACC" w:rsidRPr="009A13D8">
        <w:rPr>
          <w:rFonts w:cs="Times-Roman"/>
          <w:szCs w:val="20"/>
        </w:rPr>
        <w:t>a project unfolds</w:t>
      </w:r>
    </w:p>
    <w:p w14:paraId="598FF481" w14:textId="77777777" w:rsidR="000D2ACC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Metacognition is generally defined as understanding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monitoring one’s own thinking. The Wizard</w:t>
      </w:r>
      <w:r w:rsidR="00417371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 Maker helps students make the best use of web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resources, it helps to focus their interests as they pursue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advanced level work, and it is a built-in safeguard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against using the Renzulli Learning System to merely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surf around the web. It also establishes a creative and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viable responsibility for teachers in their role as “the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guide on the side.” By helping students pursue advanced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levels of challenge and engagement through the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use of the Wizard Project Maker, students see teachers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mentors rather than taskmasters or disseminators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knowledge. The Wizard Project Maker also has a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metacognitive effect on students, i.e., they have a better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understanding about what the investigative learning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process is all about. As one teacher recently said, “The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Wizard Project Maker helps my students understand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‘the why’ of using the Internet.” A Wizard Project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Maker template is attached to this </w:t>
      </w:r>
      <w:r w:rsidR="00DD429E">
        <w:rPr>
          <w:rFonts w:cs="Times-Roman"/>
          <w:szCs w:val="20"/>
        </w:rPr>
        <w:t>paper</w:t>
      </w:r>
      <w:r w:rsidRPr="009A13D8">
        <w:rPr>
          <w:rFonts w:cs="Times-Roman"/>
          <w:szCs w:val="20"/>
        </w:rPr>
        <w:t xml:space="preserve"> and Wizard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software is built into the System to help students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acquire resources for the various sections of this planning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device.</w:t>
      </w:r>
    </w:p>
    <w:p w14:paraId="02A3E9EF" w14:textId="77777777" w:rsidR="00F6243A" w:rsidRPr="009A13D8" w:rsidRDefault="000D2ACC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i/>
          <w:iCs/>
          <w:szCs w:val="20"/>
        </w:rPr>
        <w:t xml:space="preserve">Step 4: The Total Talent Portfolio. </w:t>
      </w:r>
      <w:r w:rsidRPr="009A13D8">
        <w:rPr>
          <w:rFonts w:cs="Times-Roman"/>
          <w:szCs w:val="20"/>
        </w:rPr>
        <w:t>The final step in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Renzulli Learning System is an automatic compilation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storage of all student activity from steps one,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two, and three into an ongoing student record called the</w:t>
      </w:r>
      <w:r w:rsidR="002C588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Total Talent Portfolio. A management tool allows stu</w:t>
      </w:r>
      <w:r w:rsidR="00F6243A" w:rsidRPr="009A13D8">
        <w:rPr>
          <w:rFonts w:cs="Times-Roman"/>
          <w:szCs w:val="20"/>
        </w:rPr>
        <w:t>dents to evaluate each site visited and resource used,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students can complete a self-assessment of what they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derived from the resource, and if they choose they can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store favorite activities and resources in their portfolio.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This feature allows easy-return-access to ongoing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work. The portfolio can be reviewed at any time by</w:t>
      </w:r>
      <w:r w:rsidR="002C588C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teachers and parents through the use of an access code,</w:t>
      </w:r>
      <w:r w:rsidR="003F1366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which enables teachers to give feedback and guidance</w:t>
      </w:r>
      <w:r w:rsidR="003F1366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to individual students and provides parents with information</w:t>
      </w:r>
      <w:r w:rsidR="003F1366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about students’ work and opportunities for</w:t>
      </w:r>
      <w:r w:rsidR="003F1366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parental involvement. The portfolio can also be used</w:t>
      </w:r>
      <w:r w:rsidR="003F1366"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for:</w:t>
      </w:r>
    </w:p>
    <w:p w14:paraId="65522CF8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Providing points of reference for future teachers</w:t>
      </w:r>
    </w:p>
    <w:p w14:paraId="1C941A50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Making decisions about possible class project extra</w:t>
      </w:r>
      <w:r>
        <w:rPr>
          <w:rFonts w:cs="Times-Roman"/>
          <w:szCs w:val="20"/>
        </w:rPr>
        <w:t xml:space="preserve"> </w:t>
      </w:r>
      <w:r w:rsidR="00F6243A" w:rsidRPr="009A13D8">
        <w:rPr>
          <w:rFonts w:cs="Times-Roman"/>
          <w:szCs w:val="20"/>
        </w:rPr>
        <w:t>credit options</w:t>
      </w:r>
    </w:p>
    <w:p w14:paraId="78C22EF9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Selecting subsequent enrichment preferences</w:t>
      </w:r>
    </w:p>
    <w:p w14:paraId="4C910456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Designing future projects and creative activities</w:t>
      </w:r>
    </w:p>
    <w:p w14:paraId="72603713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Exploring online courses and competitions</w:t>
      </w:r>
    </w:p>
    <w:p w14:paraId="702DB9F4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Participating in extracurricular activities</w:t>
      </w:r>
    </w:p>
    <w:p w14:paraId="2543AEC4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Deciding on electives in middle and high school</w:t>
      </w:r>
    </w:p>
    <w:p w14:paraId="3094690D" w14:textId="77777777" w:rsidR="00F6243A" w:rsidRPr="009A13D8" w:rsidRDefault="003F1366" w:rsidP="003F1366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>
        <w:rPr>
          <w:rFonts w:cs="Times-Roman"/>
          <w:szCs w:val="28"/>
        </w:rPr>
        <w:t>•</w:t>
      </w:r>
      <w:r>
        <w:rPr>
          <w:rFonts w:cs="Times-Roman"/>
          <w:szCs w:val="28"/>
        </w:rPr>
        <w:tab/>
      </w:r>
      <w:r w:rsidR="00F6243A" w:rsidRPr="009A13D8">
        <w:rPr>
          <w:rFonts w:cs="Times-Roman"/>
          <w:szCs w:val="20"/>
        </w:rPr>
        <w:t>Guiding college selection and career exploration alternatives</w:t>
      </w:r>
    </w:p>
    <w:p w14:paraId="488ED504" w14:textId="77777777" w:rsidR="003F1366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Total Talent Portfolio “travels” with students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throughout their educational career. It can serve as a reminder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previous activities and creative accomplishments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they might want to include in college applications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it is an ongoing record that can help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students, teachers, guidance counselors, and parents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make decisions about future educational and vocational</w:t>
      </w:r>
      <w:r w:rsidR="003F136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plans.</w:t>
      </w:r>
    </w:p>
    <w:p w14:paraId="2A8EC442" w14:textId="77777777" w:rsidR="00F6243A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420BEE98" w14:textId="77777777" w:rsidR="00F6243A" w:rsidRPr="009A13D8" w:rsidRDefault="00F6243A" w:rsidP="003F1366">
      <w:pPr>
        <w:autoSpaceDE w:val="0"/>
        <w:autoSpaceDN w:val="0"/>
        <w:adjustRightInd w:val="0"/>
        <w:spacing w:after="0"/>
        <w:rPr>
          <w:rFonts w:cs="Times-Roman"/>
          <w:b/>
          <w:bCs/>
          <w:i/>
          <w:iCs/>
        </w:rPr>
      </w:pPr>
      <w:r w:rsidRPr="009A13D8">
        <w:rPr>
          <w:rFonts w:cs="Times-Roman"/>
          <w:b/>
          <w:bCs/>
          <w:i/>
          <w:iCs/>
        </w:rPr>
        <w:t>The Renzulli Learning System</w:t>
      </w:r>
      <w:r w:rsidR="003F1366">
        <w:rPr>
          <w:rFonts w:cs="Times-Roman"/>
          <w:b/>
          <w:bCs/>
          <w:i/>
          <w:iCs/>
        </w:rPr>
        <w:t xml:space="preserve"> </w:t>
      </w:r>
      <w:r w:rsidRPr="009A13D8">
        <w:rPr>
          <w:rFonts w:cs="Times-Roman"/>
          <w:b/>
          <w:bCs/>
          <w:i/>
          <w:iCs/>
        </w:rPr>
        <w:t>and High-End Learning</w:t>
      </w:r>
    </w:p>
    <w:p w14:paraId="5ECD1628" w14:textId="77777777" w:rsidR="00F6243A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A wide range of programs based on the Enrichment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Triad Model were developed by classroom teachers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gifted education specialists in different school districts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across the country that serve diverse populations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students at all grade levels. Many examples of creative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 work were completed as part of the enrichment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opportunities built around the Triad Model.</w:t>
      </w:r>
    </w:p>
    <w:p w14:paraId="7CD7EDAB" w14:textId="77777777" w:rsidR="00F6243A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Teachers using the model worked very hard to access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resources to provide enrichment for students, but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many responsibilities of classroom teachers and the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amount of time required to track down resources made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this a daunting task. In the Renzulli Learning System,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thousands of resources and enrichment materials are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provided for teachers and students with the click of a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mouse. This system is unique in that these resources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individually tailored to students’ abilities, interests,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learning styles and these resources can be accessed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school, during after-school programs, or even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 home when students want to pursue enriched learning</w:t>
      </w:r>
      <w:r w:rsidR="00B6799B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opportunities on their own.</w:t>
      </w:r>
    </w:p>
    <w:p w14:paraId="02C5C3F8" w14:textId="77777777" w:rsidR="00F6243A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Enrichment Triad Model was designed to encourage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advanced level learning and creative productivity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by (1) exposing students to various topics, areas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interest, and fields of study in which they have an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interest or might develop an interest, (2) providing students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the skills and resources necessary to acquire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advanced level content and thinking skills, and (3) creating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opportunities for students to apply their skills to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self-selected areas of interest and problems that they</w:t>
      </w:r>
      <w:r w:rsidR="00B0082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want to pursue.</w:t>
      </w:r>
    </w:p>
    <w:p w14:paraId="77FBA488" w14:textId="77777777" w:rsidR="00F6243A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Type I enrichment is designed to expose students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a wide variety of disciplines, topics, occupations,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hobbies, persons, places, and events that would not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ordinarily be covered in the regular curriculum or that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extensions of regular curriculum topics. In schools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using this approach, an enrichment team of parents,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teachers, and students often organizes and plans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Type I experiences by contacting speakers, arranging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mini-courses, conducting overviews of enrichment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clusters, demonstrations, or performances, using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Internet resources, or by ordering and distributing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films, slides, CDs, DVDs, videotapes, or other print or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non-print media. It is often difficult to rally teams of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teachers, parents, and students on an ongoing basis;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however, the Renzulli Learning System provides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Type I enrichment opportunities by making virtual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field trips, online activities that challenge student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thinking, exciting web sites, books, videos, and DVDs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related to areas of special interest, and other exposure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activities associated with independent projects readily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available, without a lot of planning time. Obviously,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RLS does not replace parent, teacher, and student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involvement in the development of Type I experiences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might be viewed as the motivational “hook” that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causes individual students to become turned-on to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particular topic or area of study, but it supports the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ongoing implementation of exposure opportunities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some students may subsequently pursue in greater</w:t>
      </w:r>
      <w:r w:rsidR="00FD04E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depth or even consider for a future career.</w:t>
      </w:r>
    </w:p>
    <w:p w14:paraId="0BE3F264" w14:textId="77777777" w:rsidR="0000150D" w:rsidRPr="009A13D8" w:rsidRDefault="00F6243A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Type II enrichment consists of materials and activities</w:t>
      </w:r>
      <w:r w:rsidR="00CB4B6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designed to develop a broad range of higher level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thinking processes and advanced inquiry skills. Some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Type II enrichment is general, and usually provided to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groups of students in their classrooms or in enrichment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programs. This general Type II training includes the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development of (1) creative thinking, critical thinking,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and problem solving; (2) affective processes and cocognitive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skills;</w:t>
      </w:r>
      <w:r w:rsidR="0000150D" w:rsidRPr="00CB4B69">
        <w:rPr>
          <w:rFonts w:cs="Times-Roman"/>
          <w:szCs w:val="15"/>
          <w:vertAlign w:val="superscript"/>
        </w:rPr>
        <w:t>2</w:t>
      </w:r>
      <w:r w:rsidR="0000150D" w:rsidRPr="009A13D8">
        <w:rPr>
          <w:rFonts w:cs="Times-Roman"/>
          <w:szCs w:val="15"/>
        </w:rPr>
        <w:t xml:space="preserve"> </w:t>
      </w:r>
      <w:r w:rsidR="0000150D" w:rsidRPr="009A13D8">
        <w:rPr>
          <w:rFonts w:cs="Times-Roman"/>
          <w:szCs w:val="20"/>
        </w:rPr>
        <w:t>(3) a wide variety of specific learning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how-to-learn skills; (4) skills in the appropriate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use of advanced-level research and reference materials;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and (5) written, oral, and visual communication skills.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Teachers can use the Renzulli Learning System to access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general Type II enrichment activities (e.g., a lesson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in creative thinking) and make them available to students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online or in print form for whole group or small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group instruction, or an online activity can be recommended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for individuals or small groups to pursue on</w:t>
      </w:r>
      <w:r w:rsidR="00CB4B69">
        <w:rPr>
          <w:rFonts w:cs="Times-Roman"/>
          <w:szCs w:val="20"/>
        </w:rPr>
        <w:t xml:space="preserve"> </w:t>
      </w:r>
      <w:r w:rsidR="0000150D" w:rsidRPr="009A13D8">
        <w:rPr>
          <w:rFonts w:cs="Times-Roman"/>
          <w:szCs w:val="20"/>
        </w:rPr>
        <w:t>their own.</w:t>
      </w:r>
    </w:p>
    <w:p w14:paraId="42D6AFFC" w14:textId="77777777" w:rsidR="0000150D" w:rsidRPr="009A13D8" w:rsidRDefault="0000150D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Other Type II enrichment is specific, as it cannot be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planned in advance and usually involves advanced instruction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an interest area selected by the student. For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example, students who become interested in botany after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Type I on this topic would pursue additional training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this area by reading advanced content in botany;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compiling, planning, and carrying out plant experiments;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more advanced methods training for those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who want to go further and pursue a Type III in that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area. In a regular classroom, this kind of exploration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might require substantial support, guidance, and possibly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some advanced planning by the teacher. Following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supporting students in the multitude of individual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projects that might exist in a single class could become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taxing for a teacher to do alone. Now take an example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from the RLS: A small group of students become interested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mechanical engineering after a Virtual Field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Trip that dealt with some of the world’s most imaginative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bridges. They located resources on the Internet that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provided instruction for designing, planning, and building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model of a bridge. They also found a number of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 bridge competitions to which they subsequently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submitted their designs. The RLS enabled the students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pursue this high-end learning opportunity with less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aid from the teacher than might have been required otherwise.</w:t>
      </w:r>
    </w:p>
    <w:p w14:paraId="412A1F3A" w14:textId="77777777" w:rsidR="0000150D" w:rsidRPr="009A13D8" w:rsidRDefault="0000150D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 the Renzulli Learning System, Type II training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embedded across many of the enrichment activities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listed above. A quick tour of the various categories reveals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vast array of resources that can be used for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all three types of enrichment in the Triad Model.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When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several students are using the RLS, a fun informative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way to support student self-regulation and autonomy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learning is to take a “tour” through their enrichment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activities with them.</w:t>
      </w:r>
    </w:p>
    <w:p w14:paraId="07FCD542" w14:textId="77777777" w:rsidR="0000150D" w:rsidRPr="009A13D8" w:rsidRDefault="0000150D" w:rsidP="00841C36">
      <w:pPr>
        <w:autoSpaceDE w:val="0"/>
        <w:autoSpaceDN w:val="0"/>
        <w:adjustRightInd w:val="0"/>
        <w:spacing w:after="0"/>
        <w:ind w:left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Our experience in using the Enrichment Triad Model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over the years has shown that Types I and II enrichment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and/or interests gained in the regular curriculum or out</w:t>
      </w:r>
      <w:r w:rsidR="00841C36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of-school activities will motivate many students to pursue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self-selected topics in greater depth.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We call these advanced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types of involvement Type III Enrichment, which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is defined as individual or small group investigations of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real problems. When students choose to become involved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in Type III Enrichment, they usually are interested enough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in a topic to pursue a self-selected area of study in great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depth. They also are willing to commit the time necessary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for advanced content acquisition and process training in</w:t>
      </w:r>
      <w:r w:rsidR="00841C36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which they assume the role of a first-hand inquirer.</w:t>
      </w:r>
    </w:p>
    <w:p w14:paraId="098DE8A5" w14:textId="77777777" w:rsidR="0000150D" w:rsidRPr="009A13D8" w:rsidRDefault="0000150D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 the Renzulli Learning System, the Type III component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can emerge from almost any of the enrichment</w:t>
      </w:r>
      <w:r w:rsidR="00841C36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options that students choose to pursue. They can, for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example, get an idea for what they might like to learn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more about by becoming involved in a virtual field trip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a real field trip. They might find an idea from a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creativity training exercise or critical thinking activity.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most logical way for students to become involved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 Type III project is by pursuing an independent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study or by becoming involved in a contest or a competition.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 have also found that students may become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interested in doing in-depth research by using any of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other components of the RLS such as special topic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web sites, Fiction, Non-Fiction, How-To Books, Summer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Programs, Online Activities, and Research Skills.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There are also numerous options in Renzulli Learning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students to pursue Type III studies in specialized areas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(e.g., Math League, Invention Convention, National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History Day Competition, to mention only a few of the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hundreds of available options).</w:t>
      </w:r>
    </w:p>
    <w:p w14:paraId="2422C71A" w14:textId="77777777" w:rsidR="0000150D" w:rsidRPr="009A13D8" w:rsidRDefault="0000150D" w:rsidP="00F30EF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Type III enrichment is different from the types of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projects and reports that students typically do in connection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their regular schoolwork. The best way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describe this difference is to list the three things that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make a problem “real” to a student. First, real problems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based on a sincere interest of the student rather than</w:t>
      </w:r>
      <w:r w:rsidR="00452C50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one assigned by the teacher. It is something the student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 xml:space="preserve">wants </w:t>
      </w:r>
      <w:r w:rsidRPr="009A13D8">
        <w:rPr>
          <w:rFonts w:cs="Times-Roman"/>
          <w:szCs w:val="20"/>
        </w:rPr>
        <w:t>to do rather than something he or she is assigned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do. You may discuss and provide guidance in helping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student find and focus a problem, and the problem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might be within the general curriculum area you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covering, but the subject or theme on which a student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chooses to work must represent a personalization</w:t>
      </w:r>
      <w:r w:rsidR="00F30EF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the topic for him or for her.</w:t>
      </w:r>
    </w:p>
    <w:p w14:paraId="653CFD05" w14:textId="77777777" w:rsidR="00566D66" w:rsidRPr="009A13D8" w:rsidRDefault="00566D66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second distinguishing feature of working on a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real problem is that the student will use the methods of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investigation of the practicing professional. They are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going to do what the real geologist, scenery designer,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community activist does, even if it is at a more junior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level than an adult professional working in one of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these fields. This focus will help to distinguish a bona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fide Type III project from the ritualistic reports that students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typically complete by merely gathering and summarizing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information from reference books or Internet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sites. The most powerful tools for giving students the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know-how of authentic methodology, such as </w:t>
      </w:r>
      <w:r w:rsidRPr="009A13D8">
        <w:rPr>
          <w:rFonts w:cs="Times-Roman"/>
          <w:i/>
          <w:iCs/>
          <w:szCs w:val="20"/>
        </w:rPr>
        <w:t>How-To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i/>
          <w:iCs/>
          <w:szCs w:val="20"/>
        </w:rPr>
        <w:t>Books For Conducting Research and Creative Projects</w:t>
      </w:r>
      <w:r w:rsidRPr="009A13D8">
        <w:rPr>
          <w:rFonts w:cs="Times-Roman"/>
          <w:szCs w:val="20"/>
        </w:rPr>
        <w:t>,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can be found in the Enrichment Database under the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category How-To Books</w:t>
      </w:r>
      <w:r w:rsidRPr="009A13D8">
        <w:rPr>
          <w:rFonts w:cs="Times-Roman"/>
          <w:i/>
          <w:iCs/>
          <w:szCs w:val="20"/>
        </w:rPr>
        <w:t xml:space="preserve">. </w:t>
      </w:r>
      <w:r w:rsidRPr="009A13D8">
        <w:rPr>
          <w:rFonts w:cs="Times-Roman"/>
          <w:szCs w:val="20"/>
        </w:rPr>
        <w:t>Take a quick tour of this enrichment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category to get a “feel” of the many exciting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books that provide the skills for helping students become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practicing professionals. And think about using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some of the material in these books for whole-class and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small group lessons on teaching research and investigative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skills. We have found that teaching young people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practical data gathering technique such as questionnaire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design, for example, will motivate them to identify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problem that allows them to use their new skill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 a problem in which they have a personal interest.</w:t>
      </w:r>
    </w:p>
    <w:p w14:paraId="6FC39B14" w14:textId="77777777" w:rsidR="00566D66" w:rsidRPr="009A13D8" w:rsidRDefault="00566D66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third characteristic of a real problem is that it is</w:t>
      </w:r>
      <w:r w:rsidR="007C7C7E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always geared toward an audience other than or in addition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the teacher. In the adult world, practicing professionals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carry out their work because they want to have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 impact on one or more relevant audiences—others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who voluntarily attend a performance, read a newsletter,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 go to a science fair. Presenting to classmates occasionally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may qualify as a real audience, but such presentations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should be viewed more as practice sessions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more real-world settings such as a presentation to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local historical society, submission of one’s writing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a magazine that publishes poetry or short stories, or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entering an invention contest. The enrichment category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entitled </w:t>
      </w:r>
      <w:r w:rsidRPr="009A13D8">
        <w:rPr>
          <w:rFonts w:cs="Times-Roman"/>
          <w:i/>
          <w:iCs/>
          <w:szCs w:val="20"/>
        </w:rPr>
        <w:t xml:space="preserve">Contests and Competitions </w:t>
      </w:r>
      <w:r w:rsidRPr="009A13D8">
        <w:rPr>
          <w:rFonts w:cs="Times-Roman"/>
          <w:szCs w:val="20"/>
        </w:rPr>
        <w:t>will give you and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your students many ideas about opportunities for audiences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in all areas of student interest. And the </w:t>
      </w:r>
      <w:r w:rsidRPr="009A13D8">
        <w:rPr>
          <w:rFonts w:cs="Times-Roman"/>
          <w:i/>
          <w:iCs/>
          <w:szCs w:val="20"/>
        </w:rPr>
        <w:t>Websites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category includes many organizations and professional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societies that produce journals and newsletters where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 quality student products might be included. These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organizations are also excellent sources for resources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specialized areas of study, and some of them even</w:t>
      </w:r>
      <w:r w:rsidR="00746075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 online mentoring services for students.</w:t>
      </w:r>
    </w:p>
    <w:p w14:paraId="3E214E8B" w14:textId="77777777" w:rsidR="00566D66" w:rsidRPr="009A13D8" w:rsidRDefault="00566D66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goal of Type III enrichment is to transform the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role of the student from a person who merely acquires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information to a role in which she or he is thinking,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feeling, and doing like the practicing professional by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actually engaging in </w:t>
      </w:r>
      <w:r w:rsidRPr="009A13D8">
        <w:rPr>
          <w:rFonts w:cs="Times-Roman"/>
          <w:i/>
          <w:iCs/>
          <w:szCs w:val="20"/>
        </w:rPr>
        <w:t xml:space="preserve">authentic </w:t>
      </w:r>
      <w:r w:rsidRPr="009A13D8">
        <w:rPr>
          <w:rFonts w:cs="Times-Roman"/>
          <w:szCs w:val="20"/>
        </w:rPr>
        <w:t>activities. Reeves, Herrington,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Oliver (2002) describe authentic activities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 similar manner. According to these researchers, authentic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problems have characteristics that include real</w:t>
      </w:r>
      <w:r w:rsidR="00CA3843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world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relevance; ill-defined problems, requiring students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define the tasks and sub-tasks needed to complete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activity; complex tasks to be investigated by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 over a sustained period of time; the opportunity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students to examine the task from different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perspectives, using a variety of resources; the opportunity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collaborate; the opportunity to reflect: integrated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applied across different subject areas and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lead beyond domain-specific outcomes; seamlessly integrated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assessment; and polished products valuable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their own right rather than as preparation for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something else; competing solutions and diversity of</w:t>
      </w:r>
      <w:r w:rsidR="00CA384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outcome (p. 565).</w:t>
      </w:r>
    </w:p>
    <w:p w14:paraId="1ECF0323" w14:textId="77777777" w:rsidR="00566D66" w:rsidRPr="009A13D8" w:rsidRDefault="00566D66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To help students understand the difference between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 authentic Type III and the more traditional kinds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reports that they typically do in school, The Wizard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 Maker (see Fig. 62.4) highlights the specific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ways in which teachers can provide guidance in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helping students find and focus a problem, examine potential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outlets and audiences, and obtain the necessary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resources to carry out their investigative activities, and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as the teacher embraces their role as coach, or guide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 the side, they realize that their role is active, but requires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minimal time because it does not require large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amounts of face-to-face instruction.</w:t>
      </w:r>
    </w:p>
    <w:p w14:paraId="06B82AFD" w14:textId="77777777" w:rsidR="00E60348" w:rsidRDefault="00566D66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One of the questions that teachers frequently ask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“Where will students find the time to do Type III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projects?” All students can use the Renzulli Learning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System, but we have found that above average ability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students—those who can master the regular curriculum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at a faster pace than others—can “buy” some time for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activities through a sub-component of the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RLS called curriculum compacting. Essentially, compacting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a process through which the teacher uses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formal and informal assessment at the </w:t>
      </w:r>
      <w:r w:rsidRPr="009A13D8">
        <w:rPr>
          <w:rFonts w:cs="Times-Roman"/>
          <w:i/>
          <w:iCs/>
          <w:szCs w:val="20"/>
        </w:rPr>
        <w:t xml:space="preserve">beginning </w:t>
      </w:r>
      <w:r w:rsidRPr="009A13D8">
        <w:rPr>
          <w:rFonts w:cs="Times-Roman"/>
          <w:szCs w:val="20"/>
        </w:rPr>
        <w:t>of a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unit of study to determine which students have already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mastered basic skills, and therefore do not need the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same amount of practice material as others. Indeed, it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sometimes this excessive practice of skills already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mastered that causes many of our more able students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become bored with school! And in subjects such as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science and social studies, students may not know the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material to be covered, but are eager to select an op</w:t>
      </w:r>
      <w:r w:rsidR="0057530B" w:rsidRPr="009A13D8">
        <w:rPr>
          <w:rFonts w:cs="Times-Roman"/>
          <w:szCs w:val="20"/>
        </w:rPr>
        <w:t>tion that allows them to cover it at an accelerated pace.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Many students are especially eager to select this option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if they know that it will “buy” them the time to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work on Type III enrichment as well as other options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in the RLS, using a strategy such as curriculum compacting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(Renzulli &amp; Smith, 1982; Reis, Burns, &amp; Renzulli,</w:t>
      </w:r>
      <w:r w:rsidR="00E60348">
        <w:rPr>
          <w:rFonts w:cs="Times-Roman"/>
          <w:szCs w:val="20"/>
        </w:rPr>
        <w:t xml:space="preserve"> </w:t>
      </w:r>
      <w:r w:rsidR="0057530B" w:rsidRPr="009A13D8">
        <w:rPr>
          <w:rFonts w:cs="Times-Roman"/>
          <w:szCs w:val="20"/>
        </w:rPr>
        <w:t>1992).</w:t>
      </w:r>
    </w:p>
    <w:p w14:paraId="6255D425" w14:textId="77777777" w:rsidR="0057530B" w:rsidRPr="009A13D8" w:rsidRDefault="0057530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11B87E0A" w14:textId="77777777" w:rsidR="0057530B" w:rsidRPr="009A13D8" w:rsidRDefault="0057530B" w:rsidP="00E60348">
      <w:pPr>
        <w:autoSpaceDE w:val="0"/>
        <w:autoSpaceDN w:val="0"/>
        <w:adjustRightInd w:val="0"/>
        <w:spacing w:after="0"/>
        <w:rPr>
          <w:rFonts w:cs="Times-Roman"/>
          <w:b/>
          <w:bCs/>
        </w:rPr>
      </w:pPr>
      <w:r w:rsidRPr="009A13D8">
        <w:rPr>
          <w:rFonts w:cs="Times-Roman"/>
          <w:b/>
          <w:bCs/>
        </w:rPr>
        <w:t>The Value-Added Benefits of Learning</w:t>
      </w:r>
      <w:r w:rsidR="00E60348">
        <w:rPr>
          <w:rFonts w:cs="Times-Roman"/>
          <w:b/>
          <w:bCs/>
        </w:rPr>
        <w:t xml:space="preserve"> </w:t>
      </w:r>
      <w:r w:rsidRPr="009A13D8">
        <w:rPr>
          <w:rFonts w:cs="Times-Roman"/>
          <w:b/>
          <w:bCs/>
        </w:rPr>
        <w:t>with Technology</w:t>
      </w:r>
    </w:p>
    <w:p w14:paraId="6DC7FD01" w14:textId="77777777" w:rsidR="0057530B" w:rsidRPr="009A13D8" w:rsidRDefault="0057530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conditions of learning have changed dramatically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for young people going to school today. Don Leu and</w:t>
      </w:r>
      <w:r w:rsidR="00E60348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his team of New Literacies researchers at The University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Connecticut (2002, 2004) have pointed out that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Internet is this generation’s defining technology for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literacy and learning and that profound changes have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already taken place in higher education, adult learning,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the workplace, all situations for which we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preparing the young students who are in our classrooms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today. There was a time when teachers and textbooks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were the gatekeepers of knowledge, but today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virtually all of the world’s knowledge is accessible to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any student who can turn on a computer and log into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Internet. One of the dangers of a content-abundant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 such as the Internet, however, is that we might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tempted to simply use it to cram more information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into students’ heads! But by applying a learner</w:t>
      </w:r>
      <w:r w:rsidR="003046BD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centered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pedagogy rather than a traditional drill-and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practice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approach, we can harness the power of the Internet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a way that respects principles of high-level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 developed by the Task force on Psychology of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American Psychological Association (APA, 1997).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crucial question, therefore, is will we use this information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wisely? Or will we simply turn the powerful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resources available through the Internet into electronic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work sheets, test-prep tutorials, and online courses that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adhere to the same prescriptive model for learning that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almost all reform initiatives have followed thus far—a model that has indeed left so many young people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bored, disengaged, and behind? Or will the new technologies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the workhorse that can finally allow teachers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truly differentiate learning experiences for all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students? These technologies now make it possible to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apply to all students the pedagogy typically used with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 achieving students. In an article entitled “A Rising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Tide Lifts All Ships” (Renzulli, 1988), a discussion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occurs about how “gifted education approach” can improve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engagement and achievement for all students.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almost unlimited access to the world’s knowledge,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 critical issue for educators is selecting the software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providing the training that will help young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people use this access safely, efficiently, effectively,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wisely. Leu and his colleagues define the five major</w:t>
      </w:r>
      <w:r w:rsidR="003046BD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 sets of the New Literacies as follows:</w:t>
      </w:r>
    </w:p>
    <w:p w14:paraId="2C41F21F" w14:textId="77777777" w:rsidR="0057530B" w:rsidRPr="009A13D8" w:rsidRDefault="0057530B" w:rsidP="008D0682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 w:rsidRPr="009A13D8">
        <w:rPr>
          <w:rFonts w:cs="Times-Roman"/>
          <w:szCs w:val="20"/>
        </w:rPr>
        <w:t>1.</w:t>
      </w:r>
      <w:r w:rsidR="008D0682">
        <w:rPr>
          <w:rFonts w:cs="Times-Roman"/>
          <w:szCs w:val="20"/>
        </w:rPr>
        <w:tab/>
      </w:r>
      <w:r w:rsidRPr="009A13D8">
        <w:rPr>
          <w:rFonts w:cs="Times-Roman"/>
          <w:szCs w:val="20"/>
        </w:rPr>
        <w:t>Identifying important questions</w:t>
      </w:r>
    </w:p>
    <w:p w14:paraId="78F25252" w14:textId="77777777" w:rsidR="0057530B" w:rsidRPr="009A13D8" w:rsidRDefault="0057530B" w:rsidP="008D0682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 w:rsidRPr="009A13D8">
        <w:rPr>
          <w:rFonts w:cs="Times-Roman"/>
          <w:szCs w:val="20"/>
        </w:rPr>
        <w:t>2.</w:t>
      </w:r>
      <w:r w:rsidR="008D0682">
        <w:rPr>
          <w:rFonts w:cs="Times-Roman"/>
          <w:szCs w:val="20"/>
        </w:rPr>
        <w:tab/>
      </w:r>
      <w:r w:rsidRPr="009A13D8">
        <w:rPr>
          <w:rFonts w:cs="Times-Roman"/>
          <w:szCs w:val="20"/>
        </w:rPr>
        <w:t>Locating relevant information</w:t>
      </w:r>
    </w:p>
    <w:p w14:paraId="034D0370" w14:textId="77777777" w:rsidR="0057530B" w:rsidRPr="009A13D8" w:rsidRDefault="0057530B" w:rsidP="008D0682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 w:rsidRPr="009A13D8">
        <w:rPr>
          <w:rFonts w:cs="Times-Roman"/>
          <w:szCs w:val="20"/>
        </w:rPr>
        <w:t>3.</w:t>
      </w:r>
      <w:r w:rsidR="008D0682">
        <w:rPr>
          <w:rFonts w:cs="Times-Roman"/>
          <w:szCs w:val="20"/>
        </w:rPr>
        <w:tab/>
      </w:r>
      <w:r w:rsidRPr="009A13D8">
        <w:rPr>
          <w:rFonts w:cs="Times-Roman"/>
          <w:szCs w:val="20"/>
        </w:rPr>
        <w:t>Critically evaluating information</w:t>
      </w:r>
    </w:p>
    <w:p w14:paraId="3C8985AD" w14:textId="77777777" w:rsidR="0057530B" w:rsidRPr="009A13D8" w:rsidRDefault="0057530B" w:rsidP="008D0682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 w:rsidRPr="009A13D8">
        <w:rPr>
          <w:rFonts w:cs="Times-Roman"/>
          <w:szCs w:val="20"/>
        </w:rPr>
        <w:t>4.</w:t>
      </w:r>
      <w:r w:rsidR="008D0682">
        <w:rPr>
          <w:rFonts w:cs="Times-Roman"/>
          <w:szCs w:val="20"/>
        </w:rPr>
        <w:tab/>
      </w:r>
      <w:r w:rsidRPr="009A13D8">
        <w:rPr>
          <w:rFonts w:cs="Times-Roman"/>
          <w:szCs w:val="20"/>
        </w:rPr>
        <w:t>Synthesizing information</w:t>
      </w:r>
    </w:p>
    <w:p w14:paraId="02DA1B37" w14:textId="77777777" w:rsidR="0057530B" w:rsidRPr="009A13D8" w:rsidRDefault="0057530B" w:rsidP="008D0682">
      <w:pPr>
        <w:autoSpaceDE w:val="0"/>
        <w:autoSpaceDN w:val="0"/>
        <w:adjustRightInd w:val="0"/>
        <w:spacing w:after="0"/>
        <w:ind w:left="1080" w:hanging="360"/>
        <w:rPr>
          <w:rFonts w:cs="Times-Roman"/>
          <w:szCs w:val="20"/>
        </w:rPr>
      </w:pPr>
      <w:r w:rsidRPr="009A13D8">
        <w:rPr>
          <w:rFonts w:cs="Times-Roman"/>
          <w:szCs w:val="20"/>
        </w:rPr>
        <w:t>5.</w:t>
      </w:r>
      <w:r w:rsidR="008D0682">
        <w:rPr>
          <w:rFonts w:cs="Times-Roman"/>
          <w:szCs w:val="20"/>
        </w:rPr>
        <w:tab/>
      </w:r>
      <w:r w:rsidRPr="009A13D8">
        <w:rPr>
          <w:rFonts w:cs="Times-Roman"/>
          <w:szCs w:val="20"/>
        </w:rPr>
        <w:t>Communicating effectively</w:t>
      </w:r>
    </w:p>
    <w:p w14:paraId="0452BD8A" w14:textId="77777777" w:rsidR="0057530B" w:rsidRPr="009A13D8" w:rsidRDefault="0057530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In addition to improved academic achievement and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opportunities for creative productivity, which are the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major goals of the Renzulli Learning System, there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are a series of metacognitive tools that result from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computer-based learning environments. Metacognition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is generally defined as the monitoring and control of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one’s own thinking processes. Metacognitive tools are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 that help students organize and self-regulate their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 so that they can make the most efficient use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time, resources, and the cognitive skills that contribute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higher levels of thinking. Metacognition involves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problem-solving skills such as exploring alternative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options and strategies in open-ended problem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situations and applying critical thinking skills such as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examining the sources of evidence, the logic of arguments,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how to find and use reliable information.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Training and experiences in metacognitive skills may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 the single biggest difference between the education</w:t>
      </w:r>
      <w:r w:rsidR="008D0682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provided in high and low achieving schools!</w:t>
      </w:r>
    </w:p>
    <w:p w14:paraId="753DFF38" w14:textId="77777777" w:rsidR="0057530B" w:rsidRPr="009A13D8" w:rsidRDefault="0057530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Several researchers studying constructivist models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learning and metacognition have developed or modified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traditional theories of learning to explain the role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computer environments in mediating the interactions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between and among the cognitive, metacognitive, affective,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social processes that are involved in learning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complex material (Bandura, 1986; Corno &amp; Mandinach,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1983; Pintrich, 2000; Schunk, 2001). Promising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results have emerged from these new developments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theory and research on the ways in which computer</w:t>
      </w:r>
      <w:r w:rsidR="00857F89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learning environments facilitate metacognitive skill development.</w:t>
      </w:r>
    </w:p>
    <w:p w14:paraId="6674FEFE" w14:textId="77777777" w:rsidR="005C61FE" w:rsidRPr="009A13D8" w:rsidRDefault="0057530B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Internet can also be a good educational tool for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hard-to-reach populations. Researchers from Michigan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State University examined the positive effects of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home Internet access on the academic performance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low-income, mostly African American children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and teenagers involved in a home Internet project.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In this research, 140 children aged 10</w:t>
      </w:r>
      <w:r w:rsidR="00FB030E">
        <w:rPr>
          <w:rFonts w:cs="Times-Roman"/>
          <w:szCs w:val="20"/>
        </w:rPr>
        <w:t>-</w:t>
      </w:r>
      <w:r w:rsidR="005C61FE" w:rsidRPr="009A13D8">
        <w:rPr>
          <w:rFonts w:cs="Times-Roman"/>
          <w:szCs w:val="20"/>
        </w:rPr>
        <w:t>18 years old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(83% African American and 58% male) living in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single-parent households (75%) with a $15,000 or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less median income were followed for a 2-year period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to see whether home Internet use would influence</w:t>
      </w:r>
      <w:r w:rsidR="003D17B3">
        <w:rPr>
          <w:rFonts w:cs="Times-Roman"/>
          <w:szCs w:val="20"/>
        </w:rPr>
        <w:t xml:space="preserve"> </w:t>
      </w:r>
      <w:r w:rsidR="005C61FE" w:rsidRPr="009A13D8">
        <w:rPr>
          <w:rFonts w:cs="Times-Roman"/>
          <w:szCs w:val="20"/>
        </w:rPr>
        <w:t>academic achievement.</w:t>
      </w:r>
    </w:p>
    <w:p w14:paraId="31674A57" w14:textId="77777777" w:rsidR="005C61FE" w:rsidRPr="009A13D8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children who participated in the project were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online for an average of 30 minutes a day. Findings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indicate that children who used the Internet more had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higher standardized test scores in reading and higher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grade point averages (GPAs) at 1 year and at 16 months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after the project began compared to children who used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Internet less, said lead author Linda Jackson. The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Internet use had no effect on standardized test scores</w:t>
      </w:r>
      <w:r w:rsidR="003D17B3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math.</w:t>
      </w:r>
    </w:p>
    <w:p w14:paraId="629BACF1" w14:textId="77777777" w:rsidR="005C61FE" w:rsidRPr="009A13D8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“Improvements in reading achievement may be attributable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 the fact that spending more time online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typically means spending more time reading,” said Dr.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Jackson. “GPAs may improve because GPAs are heavily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dependent on reading skills,” she added.</w:t>
      </w:r>
    </w:p>
    <w:p w14:paraId="09468261" w14:textId="77777777" w:rsidR="003A6A14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An even more promising trend is emerging as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computer use evolves from traditional e-learning (i.e.,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taking an online course or developing basic skills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through computer-assisted instruction) to inquiry</w:t>
      </w:r>
      <w:r w:rsidR="003A6A14">
        <w:rPr>
          <w:rFonts w:cs="Times-Roman"/>
          <w:szCs w:val="20"/>
        </w:rPr>
        <w:t>-</w:t>
      </w:r>
      <w:r w:rsidRPr="009A13D8">
        <w:rPr>
          <w:rFonts w:cs="Times-Roman"/>
          <w:szCs w:val="20"/>
        </w:rPr>
        <w:t>based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 xml:space="preserve">software that focuses on the </w:t>
      </w:r>
      <w:r w:rsidRPr="009A13D8">
        <w:rPr>
          <w:rFonts w:cs="Times-Roman"/>
          <w:i/>
          <w:iCs/>
          <w:szCs w:val="20"/>
        </w:rPr>
        <w:t xml:space="preserve">application </w:t>
      </w:r>
      <w:r w:rsidRPr="009A13D8">
        <w:rPr>
          <w:rFonts w:cs="Times-Roman"/>
          <w:szCs w:val="20"/>
        </w:rPr>
        <w:t>of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knowledge to creative productivity and investigative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projects that promote high levels of student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engagement. Students learn the basic difference between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to-be-presented information that characterizes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traditional instruction and just-in-time information,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which is the hallmark of problem-based learning.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Skills such as problem finding and focusing; stating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questions; task understanding and planning;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identifying appropriate investigative methodologies;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searching, skimming, selecting, and interpreting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appropriate resource material; identifying appropriate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outlets, products, and audiences; and preparing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effective communication vehicles are all value-added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benefits when the learning theory that underlies the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Enrichment Triad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Model is combined with the vastness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resources available through the Internet.</w:t>
      </w:r>
    </w:p>
    <w:p w14:paraId="71047B22" w14:textId="77777777" w:rsidR="005C61FE" w:rsidRPr="009A13D8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53F4B485" w14:textId="77777777" w:rsidR="005C61FE" w:rsidRPr="009A13D8" w:rsidRDefault="005C61FE" w:rsidP="003A6A14">
      <w:pPr>
        <w:autoSpaceDE w:val="0"/>
        <w:autoSpaceDN w:val="0"/>
        <w:adjustRightInd w:val="0"/>
        <w:spacing w:after="0"/>
        <w:rPr>
          <w:rFonts w:cs="Times-Roman"/>
          <w:b/>
          <w:bCs/>
        </w:rPr>
      </w:pPr>
      <w:r w:rsidRPr="009A13D8">
        <w:rPr>
          <w:rFonts w:cs="Times-Roman"/>
          <w:b/>
          <w:bCs/>
        </w:rPr>
        <w:t>Summary: The Renzulli Learning System</w:t>
      </w:r>
    </w:p>
    <w:p w14:paraId="6DBE452E" w14:textId="77777777" w:rsidR="00D3590C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  <w:r w:rsidRPr="009A13D8">
        <w:rPr>
          <w:rFonts w:cs="Times-Roman"/>
          <w:szCs w:val="20"/>
        </w:rPr>
        <w:t>The Renzulli Learning System is designed to be an</w:t>
      </w:r>
      <w:r w:rsidR="003A6A14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aid to busy teachers who seek the tools for effective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differentiation as they go about the process of dealing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with a broad range of individual differences, diverse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 needs, and increased pressures to improve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student achievement. Through the use of technology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an approach to learning that is the opposite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of highly prescriptive instruction, the RLS provides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teachers with the “dozen teaching assistants”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every teacher would like to have in his or her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classroom. The main goal of the RLS is to simultaneously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increase achievement and enjoyment of learning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by making available an inexpensive, easy-to-use,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research-based system that promotes student engagement.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Although student engagement has been defined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 many ways, we view it as the infectious enthusiasm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students display when working on something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is of personal interest and that challenges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them to “stretch” for the use of materials and resources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that are above their current comfort level of learning.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Research on the role of student engagement is clear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unequivocal—high engagement results in higher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achievement, improved self-concept and self-efficacy,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and more favorable attitudes toward school and learning.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Numerous students involved in our field tests of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the RLS summed it up with one word—“Awesome!”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Interested readers can examine the RLS by going to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www.renzullilearning.com and clicking on Test Drive</w:t>
      </w:r>
      <w:r w:rsidR="00D3590C">
        <w:rPr>
          <w:rFonts w:cs="Times-Roman"/>
          <w:szCs w:val="20"/>
        </w:rPr>
        <w:t xml:space="preserve"> </w:t>
      </w:r>
      <w:r w:rsidRPr="009A13D8">
        <w:rPr>
          <w:rFonts w:cs="Times-Roman"/>
          <w:szCs w:val="20"/>
        </w:rPr>
        <w:t>Renzulli Learning.</w:t>
      </w:r>
    </w:p>
    <w:p w14:paraId="3770E102" w14:textId="77777777" w:rsidR="005C61FE" w:rsidRPr="009A13D8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szCs w:val="20"/>
        </w:rPr>
      </w:pPr>
    </w:p>
    <w:p w14:paraId="0074E7C4" w14:textId="77777777" w:rsidR="005C61FE" w:rsidRPr="009A13D8" w:rsidRDefault="005C61FE" w:rsidP="009A13D8">
      <w:pPr>
        <w:autoSpaceDE w:val="0"/>
        <w:autoSpaceDN w:val="0"/>
        <w:adjustRightInd w:val="0"/>
        <w:spacing w:after="0"/>
        <w:ind w:firstLine="720"/>
        <w:rPr>
          <w:rFonts w:cs="Times-Roman"/>
          <w:b/>
          <w:bCs/>
        </w:rPr>
      </w:pPr>
      <w:r w:rsidRPr="009A13D8">
        <w:rPr>
          <w:rFonts w:cs="Times-Roman"/>
          <w:b/>
          <w:bCs/>
        </w:rPr>
        <w:t>References</w:t>
      </w:r>
    </w:p>
    <w:p w14:paraId="1FEBFC1C" w14:textId="77777777" w:rsidR="005C61FE" w:rsidRPr="009A13D8" w:rsidRDefault="005C61FE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Ainley, M. D. (1993). Styles of engagement with learning: Multidimensional</w:t>
      </w:r>
      <w:r w:rsidR="00A00423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assessment of their relationship with strategy</w:t>
      </w:r>
      <w:r w:rsidR="00A00423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use and school achievement. </w:t>
      </w:r>
      <w:r w:rsidRPr="009A13D8">
        <w:rPr>
          <w:rFonts w:cs="Times-Roman"/>
          <w:i/>
          <w:iCs/>
          <w:szCs w:val="17"/>
        </w:rPr>
        <w:t>Journal of Educational Psychology,</w:t>
      </w:r>
      <w:r w:rsidR="00A00423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85</w:t>
      </w:r>
      <w:r w:rsidRPr="009A13D8">
        <w:rPr>
          <w:rFonts w:cs="Times-Roman"/>
          <w:szCs w:val="17"/>
        </w:rPr>
        <w:t>(3), 395</w:t>
      </w:r>
      <w:r w:rsidR="00A00423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405.</w:t>
      </w:r>
    </w:p>
    <w:p w14:paraId="3B33709A" w14:textId="77777777" w:rsidR="005C61FE" w:rsidRPr="009A13D8" w:rsidRDefault="005C61FE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APA Work Group of the Board of Educational Affairs. (1997).</w:t>
      </w:r>
      <w:r w:rsidR="00A00423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Learner-centered psychological principles: A framework for</w:t>
      </w:r>
      <w:r w:rsidR="00A00423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 xml:space="preserve">school reform and redesign. </w:t>
      </w:r>
      <w:r w:rsidRPr="009A13D8">
        <w:rPr>
          <w:rFonts w:cs="Times-Roman"/>
          <w:szCs w:val="17"/>
        </w:rPr>
        <w:t>Washington, DC.: American</w:t>
      </w:r>
      <w:r w:rsidR="00A00423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Psychological Association.</w:t>
      </w:r>
    </w:p>
    <w:p w14:paraId="3F738C4A" w14:textId="77777777" w:rsidR="005C61FE" w:rsidRPr="00FA3701" w:rsidRDefault="005C61FE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i/>
          <w:iCs/>
          <w:szCs w:val="17"/>
        </w:rPr>
      </w:pPr>
      <w:r w:rsidRPr="009A13D8">
        <w:rPr>
          <w:rFonts w:cs="Times-Roman"/>
          <w:szCs w:val="17"/>
        </w:rPr>
        <w:t xml:space="preserve">Bandura, A. (1986). </w:t>
      </w:r>
      <w:r w:rsidRPr="009A13D8">
        <w:rPr>
          <w:rFonts w:cs="Times-Roman"/>
          <w:i/>
          <w:iCs/>
          <w:szCs w:val="17"/>
        </w:rPr>
        <w:t>Social foundation of thought and action: A</w:t>
      </w:r>
      <w:r w:rsidR="00FA3701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 xml:space="preserve">social cognitive theory. </w:t>
      </w:r>
      <w:r w:rsidRPr="009A13D8">
        <w:rPr>
          <w:rFonts w:cs="Times-Roman"/>
          <w:szCs w:val="17"/>
        </w:rPr>
        <w:t>Englewood Cliffs, NJ: Prentice Hall.</w:t>
      </w:r>
    </w:p>
    <w:p w14:paraId="4ED9C7DA" w14:textId="77777777" w:rsidR="005C61FE" w:rsidRPr="009A13D8" w:rsidRDefault="005C61FE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Corno, L. &amp; Mandinach, E. (1983). The role of cognitive engagement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in classroom learning and motivation. </w:t>
      </w:r>
      <w:r w:rsidRPr="009A13D8">
        <w:rPr>
          <w:rFonts w:cs="Times-Roman"/>
          <w:i/>
          <w:iCs/>
          <w:szCs w:val="17"/>
        </w:rPr>
        <w:t>Educational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Psychologist, 18</w:t>
      </w:r>
      <w:r w:rsidRPr="009A13D8">
        <w:rPr>
          <w:rFonts w:cs="Times-Roman"/>
          <w:szCs w:val="17"/>
        </w:rPr>
        <w:t>, 88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109.</w:t>
      </w:r>
    </w:p>
    <w:p w14:paraId="13D4CF4A" w14:textId="77777777" w:rsidR="005C61FE" w:rsidRPr="009A13D8" w:rsidRDefault="005C61FE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Greenwood, C. R. (1991). Longitudinal analysis of time, engagement,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and achievement in at-risk versus non-risk students.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Exceptional Children, 57</w:t>
      </w:r>
      <w:r w:rsidRPr="009A13D8">
        <w:rPr>
          <w:rFonts w:cs="Times-Roman"/>
          <w:szCs w:val="17"/>
        </w:rPr>
        <w:t>(6), 521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536.</w:t>
      </w:r>
    </w:p>
    <w:p w14:paraId="6620FC3C" w14:textId="77777777" w:rsidR="005C61FE" w:rsidRPr="009A13D8" w:rsidRDefault="005C61FE" w:rsidP="00FA3701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Leu, D. J. (2002). The new literacies: Research on reading instruction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with the Internet. In A. E. 1025 Farstrup &amp; J.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Samuels (Eds.), </w:t>
      </w:r>
      <w:r w:rsidRPr="009A13D8">
        <w:rPr>
          <w:rFonts w:cs="Times-Roman"/>
          <w:i/>
          <w:iCs/>
          <w:szCs w:val="17"/>
        </w:rPr>
        <w:t>What research has to say about reading instruction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(pp. 310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336). Newark, DE: International Reading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Association.</w:t>
      </w:r>
    </w:p>
    <w:p w14:paraId="1A796609" w14:textId="77777777" w:rsidR="009A13D8" w:rsidRPr="00FA3701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i/>
          <w:iCs/>
          <w:szCs w:val="17"/>
        </w:rPr>
      </w:pPr>
      <w:r w:rsidRPr="009A13D8">
        <w:rPr>
          <w:rFonts w:cs="Times-Roman"/>
          <w:szCs w:val="17"/>
        </w:rPr>
        <w:t xml:space="preserve">Leu, D. J., Jr., Leu, D. D. &amp; Coiro, J. (2004). </w:t>
      </w:r>
      <w:r w:rsidRPr="009A13D8">
        <w:rPr>
          <w:rFonts w:cs="Times-Roman"/>
          <w:i/>
          <w:iCs/>
          <w:szCs w:val="17"/>
        </w:rPr>
        <w:t>Teaching with the</w:t>
      </w:r>
      <w:r w:rsidR="00FA3701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 xml:space="preserve">Internet: New literacies for new times? </w:t>
      </w:r>
      <w:r w:rsidRPr="009A13D8">
        <w:rPr>
          <w:rFonts w:cs="Times-Roman"/>
          <w:szCs w:val="17"/>
        </w:rPr>
        <w:t>(4th ed.). Norwood,</w:t>
      </w:r>
      <w:r w:rsidR="00FA3701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szCs w:val="17"/>
        </w:rPr>
        <w:t>MA: Christopher-Gordon.</w:t>
      </w:r>
    </w:p>
    <w:p w14:paraId="3E4C31C0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 xml:space="preserve">Pintrich, P. R. (2000). The role of goal orientation is </w:t>
      </w:r>
      <w:r w:rsidR="001E672A" w:rsidRPr="009A13D8">
        <w:rPr>
          <w:rFonts w:cs="Times-Roman"/>
          <w:szCs w:val="17"/>
        </w:rPr>
        <w:t>self regulated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learning. In M. Boekaerts, P. Pintrich, &amp; M. Zeidner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(Eds.), </w:t>
      </w:r>
      <w:r w:rsidRPr="009A13D8">
        <w:rPr>
          <w:rFonts w:cs="Times-Roman"/>
          <w:i/>
          <w:iCs/>
          <w:szCs w:val="17"/>
        </w:rPr>
        <w:t xml:space="preserve">Handbook of self-regulation </w:t>
      </w:r>
      <w:r w:rsidRPr="009A13D8">
        <w:rPr>
          <w:rFonts w:cs="Times-Roman"/>
          <w:szCs w:val="17"/>
        </w:rPr>
        <w:t>(pp. 452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502). New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York: Academic.</w:t>
      </w:r>
    </w:p>
    <w:p w14:paraId="0C1D5B5C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Programme for International Student Assessment (PISA).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(2006). PISA Study. http://www.iea-dpc.de/Home</w:t>
      </w:r>
      <w:r w:rsidR="00DF706A">
        <w:rPr>
          <w:rFonts w:cs="Times-Roman"/>
          <w:szCs w:val="17"/>
        </w:rPr>
        <w:t>_</w:t>
      </w:r>
      <w:r w:rsidRPr="009A13D8">
        <w:rPr>
          <w:rFonts w:cs="Times-Roman"/>
          <w:szCs w:val="17"/>
        </w:rPr>
        <w:t>e/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Studies/PISA</w:t>
      </w:r>
      <w:r w:rsidR="00DF706A">
        <w:rPr>
          <w:rFonts w:cs="Times-Roman"/>
          <w:szCs w:val="17"/>
        </w:rPr>
        <w:t>_</w:t>
      </w:r>
      <w:r w:rsidRPr="009A13D8">
        <w:rPr>
          <w:rFonts w:cs="Times-Roman"/>
          <w:szCs w:val="17"/>
        </w:rPr>
        <w:t>e/body</w:t>
      </w:r>
      <w:r w:rsidR="00DF706A">
        <w:rPr>
          <w:rFonts w:cs="Times-Roman"/>
          <w:szCs w:val="17"/>
        </w:rPr>
        <w:t>_</w:t>
      </w:r>
      <w:r w:rsidRPr="009A13D8">
        <w:rPr>
          <w:rFonts w:cs="Times-Roman"/>
          <w:szCs w:val="17"/>
        </w:rPr>
        <w:t>pisa</w:t>
      </w:r>
      <w:r w:rsidR="00DF706A">
        <w:rPr>
          <w:rFonts w:cs="Times-Roman"/>
          <w:szCs w:val="17"/>
        </w:rPr>
        <w:t>_</w:t>
      </w:r>
      <w:r w:rsidRPr="009A13D8">
        <w:rPr>
          <w:rFonts w:cs="Times-Roman"/>
          <w:szCs w:val="17"/>
        </w:rPr>
        <w:t>e.html</w:t>
      </w:r>
    </w:p>
    <w:p w14:paraId="5D468C45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Reeves, T. C., Herrington, J., &amp; Oliver, R. (2002). Authentic activities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and on-line learning. In A. Goody, J. Harrington, &amp;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M. Northcote (Eds.), </w:t>
      </w:r>
      <w:r w:rsidRPr="009A13D8">
        <w:rPr>
          <w:rFonts w:cs="Times-Roman"/>
          <w:i/>
          <w:iCs/>
          <w:szCs w:val="17"/>
        </w:rPr>
        <w:t>Quality conversations: Research and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 xml:space="preserve">development in higher education </w:t>
      </w:r>
      <w:r w:rsidRPr="009A13D8">
        <w:rPr>
          <w:rFonts w:cs="Times-Roman"/>
          <w:szCs w:val="17"/>
        </w:rPr>
        <w:t>(Vol. 25, pp. 562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567).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Jamison, ACT: HERDSA.</w:t>
      </w:r>
    </w:p>
    <w:p w14:paraId="76802794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 (1978). What makes giftedness? Re-examining a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definition. </w:t>
      </w:r>
      <w:r w:rsidRPr="009A13D8">
        <w:rPr>
          <w:rFonts w:cs="Times-Roman"/>
          <w:i/>
          <w:iCs/>
          <w:szCs w:val="17"/>
        </w:rPr>
        <w:t>Phi Delta Kappan, 60</w:t>
      </w:r>
      <w:r w:rsidRPr="009A13D8">
        <w:rPr>
          <w:rFonts w:cs="Times-Roman"/>
          <w:szCs w:val="17"/>
        </w:rPr>
        <w:t>, 180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184.</w:t>
      </w:r>
    </w:p>
    <w:p w14:paraId="2D7B43EA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 (1988). The multiple menu model for developing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differentiated curriculum for the gifted and talented. </w:t>
      </w:r>
      <w:r w:rsidRPr="009A13D8">
        <w:rPr>
          <w:rFonts w:cs="Times-Roman"/>
          <w:i/>
          <w:iCs/>
          <w:szCs w:val="17"/>
        </w:rPr>
        <w:t>Gifted-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Child Quarterly. 32</w:t>
      </w:r>
      <w:r w:rsidRPr="009A13D8">
        <w:rPr>
          <w:rFonts w:cs="Times-Roman"/>
          <w:szCs w:val="17"/>
        </w:rPr>
        <w:t>, 298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309.</w:t>
      </w:r>
    </w:p>
    <w:p w14:paraId="6CE93841" w14:textId="77777777" w:rsidR="009A13D8" w:rsidRPr="00FA3701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i/>
          <w:iCs/>
          <w:szCs w:val="17"/>
        </w:rPr>
      </w:pPr>
      <w:r w:rsidRPr="009A13D8">
        <w:rPr>
          <w:rFonts w:cs="Times-Roman"/>
          <w:szCs w:val="17"/>
        </w:rPr>
        <w:t xml:space="preserve">Renzulli, J. S., &amp; Reis, S. M. (1997). </w:t>
      </w:r>
      <w:r w:rsidRPr="009A13D8">
        <w:rPr>
          <w:rFonts w:cs="Times-Roman"/>
          <w:i/>
          <w:iCs/>
          <w:szCs w:val="17"/>
        </w:rPr>
        <w:t>The schoolwide enrichment</w:t>
      </w:r>
      <w:r w:rsidR="00FA3701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model: A comprehensive plan for educational excellence</w:t>
      </w:r>
      <w:r w:rsidRPr="009A13D8">
        <w:rPr>
          <w:rFonts w:cs="Times-Roman"/>
          <w:szCs w:val="17"/>
        </w:rPr>
        <w:t>.</w:t>
      </w:r>
      <w:r w:rsidR="00FA3701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szCs w:val="17"/>
        </w:rPr>
        <w:t>Mansfield Center, CT: Creative Learning Press.</w:t>
      </w:r>
    </w:p>
    <w:p w14:paraId="4A20040F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 (2005). The three-ring conception of giftedness: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 developmental model for promoting creative productivity.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In R. J. Sternberg &amp; J. Davidson (Eds.), </w:t>
      </w:r>
      <w:r w:rsidRPr="009A13D8">
        <w:rPr>
          <w:rFonts w:cs="Times-Roman"/>
          <w:i/>
          <w:iCs/>
          <w:szCs w:val="17"/>
        </w:rPr>
        <w:t>Conceptions of giftedness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(2nd ed.). Boston, MA: Cambridge University Press,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pp. 217</w:t>
      </w:r>
      <w:r w:rsidR="00FA3701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245.</w:t>
      </w:r>
    </w:p>
    <w:p w14:paraId="49488366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S., Koehler, J., &amp; Fogarty, E. (2006). Operation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Houndstooth intervention theory: Social capital in today’s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school. </w:t>
      </w:r>
      <w:r w:rsidRPr="009A13D8">
        <w:rPr>
          <w:rFonts w:cs="Times-Roman"/>
          <w:i/>
          <w:iCs/>
          <w:szCs w:val="17"/>
        </w:rPr>
        <w:t>Gifted Child Today, 29</w:t>
      </w:r>
      <w:r w:rsidRPr="009A13D8">
        <w:rPr>
          <w:rFonts w:cs="Times-Roman"/>
          <w:szCs w:val="17"/>
        </w:rPr>
        <w:t>(1), 14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24.</w:t>
      </w:r>
    </w:p>
    <w:p w14:paraId="7DE5B29F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 (1977). The enrichment triad model: A guide for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developing defensible programs for the gifted and talented: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Part II. </w:t>
      </w:r>
      <w:r w:rsidRPr="009A13D8">
        <w:rPr>
          <w:rFonts w:cs="Times-Roman"/>
          <w:i/>
          <w:iCs/>
          <w:szCs w:val="17"/>
        </w:rPr>
        <w:t>Gifted Child Quarterly, 21</w:t>
      </w:r>
      <w:r w:rsidRPr="009A13D8">
        <w:rPr>
          <w:rFonts w:cs="Times-Roman"/>
          <w:szCs w:val="17"/>
        </w:rPr>
        <w:t>, 237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243.</w:t>
      </w:r>
    </w:p>
    <w:p w14:paraId="70028468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Renzulli, J. S., &amp; Smith, L. H. (1984). Learning style preferences: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 practical approach for classro</w:t>
      </w:r>
      <w:r w:rsidR="00FA3701">
        <w:rPr>
          <w:rFonts w:cs="Times-Roman"/>
          <w:szCs w:val="17"/>
        </w:rPr>
        <w:t>o</w:t>
      </w:r>
      <w:r w:rsidRPr="009A13D8">
        <w:rPr>
          <w:rFonts w:cs="Times-Roman"/>
          <w:szCs w:val="17"/>
        </w:rPr>
        <w:t xml:space="preserve">m teachers. </w:t>
      </w:r>
      <w:r w:rsidRPr="009A13D8">
        <w:rPr>
          <w:rFonts w:cs="Times-Roman"/>
          <w:i/>
          <w:iCs/>
          <w:szCs w:val="17"/>
        </w:rPr>
        <w:t>Theory</w:t>
      </w:r>
      <w:r w:rsidR="00FA3701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Into Practice, 18</w:t>
      </w:r>
      <w:r w:rsidRPr="009A13D8">
        <w:rPr>
          <w:rFonts w:cs="Times-Roman"/>
          <w:szCs w:val="17"/>
        </w:rPr>
        <w:t>, 44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50.</w:t>
      </w:r>
    </w:p>
    <w:p w14:paraId="2B9E735B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Reis, S. M., &amp; Renzulli, J. S. (1984). A research approach on the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revolving door identification model: A case for the broadened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conception of giftedness. </w:t>
      </w:r>
      <w:r w:rsidRPr="009A13D8">
        <w:rPr>
          <w:rFonts w:cs="Times-Roman"/>
          <w:i/>
          <w:iCs/>
          <w:szCs w:val="17"/>
        </w:rPr>
        <w:t>Phi Delta Kappan, 63</w:t>
      </w:r>
      <w:r w:rsidRPr="009A13D8">
        <w:rPr>
          <w:rFonts w:cs="Times-Roman"/>
          <w:szCs w:val="17"/>
        </w:rPr>
        <w:t>(4), 619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620.</w:t>
      </w:r>
    </w:p>
    <w:p w14:paraId="78BC4159" w14:textId="77777777" w:rsidR="009A13D8" w:rsidRPr="006701CF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i/>
          <w:iCs/>
          <w:szCs w:val="17"/>
        </w:rPr>
      </w:pPr>
      <w:r w:rsidRPr="009A13D8">
        <w:rPr>
          <w:rFonts w:cs="Times-Roman"/>
          <w:szCs w:val="17"/>
        </w:rPr>
        <w:t xml:space="preserve">Reis, S. M., Burns, D. E., &amp; Renzulli, J. S. (1992). </w:t>
      </w:r>
      <w:r w:rsidRPr="009A13D8">
        <w:rPr>
          <w:rFonts w:cs="Times-Roman"/>
          <w:i/>
          <w:iCs/>
          <w:szCs w:val="17"/>
        </w:rPr>
        <w:t>Curriculum</w:t>
      </w:r>
      <w:r w:rsidR="006701CF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compacting: The complete guide to modifying the regular</w:t>
      </w:r>
      <w:r w:rsidR="006701CF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curriculum for high ability students</w:t>
      </w:r>
      <w:r w:rsidRPr="009A13D8">
        <w:rPr>
          <w:rFonts w:cs="Times-Roman"/>
          <w:szCs w:val="17"/>
        </w:rPr>
        <w:t>. Mansfield Center,</w:t>
      </w:r>
      <w:r w:rsidR="006701CF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szCs w:val="17"/>
        </w:rPr>
        <w:t>CT: Creative Learning Press.</w:t>
      </w:r>
    </w:p>
    <w:p w14:paraId="6923E49F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Reis, S. M., &amp; Renzulli, J. S. (1994). Research related to the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Schoolwide Enrichment Triad Model. </w:t>
      </w:r>
      <w:r w:rsidRPr="009A13D8">
        <w:rPr>
          <w:rFonts w:cs="Times-Roman"/>
          <w:i/>
          <w:iCs/>
          <w:szCs w:val="17"/>
        </w:rPr>
        <w:t>Gifted Child Quarterly,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38</w:t>
      </w:r>
      <w:r w:rsidRPr="009A13D8">
        <w:rPr>
          <w:rFonts w:cs="Times-Roman"/>
          <w:szCs w:val="17"/>
        </w:rPr>
        <w:t>(1), 7</w:t>
      </w:r>
      <w:r w:rsidR="006701CF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20.</w:t>
      </w:r>
    </w:p>
    <w:p w14:paraId="21069A2E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>Schunk, D. (2001). Social cognitive theory of self-regulated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 xml:space="preserve">learning. In B. Zimmerman &amp; D. Schunk (Eds.), </w:t>
      </w:r>
      <w:r w:rsidR="001E672A" w:rsidRPr="009A13D8">
        <w:rPr>
          <w:rFonts w:cs="Times-Roman"/>
          <w:i/>
          <w:iCs/>
          <w:szCs w:val="17"/>
        </w:rPr>
        <w:t>Self regulated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>learning and academic achievement: Theoretical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i/>
          <w:iCs/>
          <w:szCs w:val="17"/>
        </w:rPr>
        <w:t xml:space="preserve">perspectives </w:t>
      </w:r>
      <w:r w:rsidRPr="009A13D8">
        <w:rPr>
          <w:rFonts w:cs="Times-Roman"/>
          <w:szCs w:val="17"/>
        </w:rPr>
        <w:t>(pp. 125</w:t>
      </w:r>
      <w:r w:rsidR="00FB030E">
        <w:rPr>
          <w:rFonts w:cs="Times-Roman"/>
          <w:szCs w:val="17"/>
        </w:rPr>
        <w:t>-</w:t>
      </w:r>
      <w:r w:rsidRPr="009A13D8">
        <w:rPr>
          <w:rFonts w:cs="Times-Roman"/>
          <w:szCs w:val="17"/>
        </w:rPr>
        <w:t>152).Mahwah, NJ: Lawrence Erlbaum</w:t>
      </w:r>
      <w:r w:rsidR="006701CF">
        <w:rPr>
          <w:rFonts w:cs="Times-Roman"/>
          <w:szCs w:val="17"/>
        </w:rPr>
        <w:t xml:space="preserve"> </w:t>
      </w:r>
      <w:r w:rsidRPr="009A13D8">
        <w:rPr>
          <w:rFonts w:cs="Times-Roman"/>
          <w:szCs w:val="17"/>
        </w:rPr>
        <w:t>Associates.</w:t>
      </w:r>
    </w:p>
    <w:p w14:paraId="15559834" w14:textId="77777777" w:rsidR="009A13D8" w:rsidRPr="009A13D8" w:rsidRDefault="009A13D8" w:rsidP="00A00423">
      <w:pPr>
        <w:autoSpaceDE w:val="0"/>
        <w:autoSpaceDN w:val="0"/>
        <w:adjustRightInd w:val="0"/>
        <w:spacing w:after="0"/>
        <w:ind w:left="720" w:hanging="720"/>
        <w:rPr>
          <w:rFonts w:cs="Times-Roman"/>
          <w:szCs w:val="17"/>
        </w:rPr>
      </w:pPr>
      <w:r w:rsidRPr="009A13D8">
        <w:rPr>
          <w:rFonts w:cs="Times-Roman"/>
          <w:szCs w:val="17"/>
        </w:rPr>
        <w:t xml:space="preserve">Sternberg, R.J. &amp; Davidson, J. (Eds.) (1986). </w:t>
      </w:r>
      <w:r w:rsidRPr="009A13D8">
        <w:rPr>
          <w:rFonts w:cs="Times-Roman"/>
          <w:i/>
          <w:iCs/>
          <w:szCs w:val="17"/>
        </w:rPr>
        <w:t>Conceptions of giftedness</w:t>
      </w:r>
      <w:r w:rsidRPr="009A13D8">
        <w:rPr>
          <w:rFonts w:cs="Times-Roman"/>
          <w:szCs w:val="17"/>
        </w:rPr>
        <w:t>.</w:t>
      </w:r>
      <w:r w:rsidR="007E5AAC">
        <w:rPr>
          <w:rFonts w:cs="Times-Roman"/>
          <w:szCs w:val="17"/>
        </w:rPr>
        <w:t xml:space="preserve"> Boston</w:t>
      </w:r>
      <w:r w:rsidRPr="009A13D8">
        <w:rPr>
          <w:rFonts w:cs="Times-Roman"/>
          <w:szCs w:val="17"/>
        </w:rPr>
        <w:t>: Cambridge University Press.</w:t>
      </w:r>
    </w:p>
    <w:p w14:paraId="0FBCACEE" w14:textId="77777777" w:rsidR="009A13D8" w:rsidRPr="007E5AAC" w:rsidRDefault="009A13D8" w:rsidP="007E5AAC">
      <w:pPr>
        <w:autoSpaceDE w:val="0"/>
        <w:autoSpaceDN w:val="0"/>
        <w:adjustRightInd w:val="0"/>
        <w:spacing w:after="0"/>
        <w:ind w:left="720" w:hanging="720"/>
        <w:rPr>
          <w:rFonts w:cs="Times-Roman"/>
          <w:i/>
          <w:iCs/>
          <w:szCs w:val="17"/>
        </w:rPr>
      </w:pPr>
      <w:r w:rsidRPr="009A13D8">
        <w:rPr>
          <w:rFonts w:cs="Times-Roman"/>
          <w:szCs w:val="17"/>
        </w:rPr>
        <w:t xml:space="preserve">Sternberg, R.J. &amp; Davidson, J. (Eds.) (2005). </w:t>
      </w:r>
      <w:r w:rsidRPr="009A13D8">
        <w:rPr>
          <w:rFonts w:cs="Times-Roman"/>
          <w:i/>
          <w:iCs/>
          <w:szCs w:val="17"/>
        </w:rPr>
        <w:t>Conceptions of giftedness</w:t>
      </w:r>
      <w:r w:rsidR="007E5AAC">
        <w:rPr>
          <w:rFonts w:cs="Times-Roman"/>
          <w:i/>
          <w:iCs/>
          <w:szCs w:val="17"/>
        </w:rPr>
        <w:t xml:space="preserve"> </w:t>
      </w:r>
      <w:r w:rsidRPr="009A13D8">
        <w:rPr>
          <w:rFonts w:cs="Times-Roman"/>
          <w:szCs w:val="17"/>
        </w:rPr>
        <w:t>(2nd ed.). Boston: Cambridge University Press.</w:t>
      </w:r>
    </w:p>
    <w:p w14:paraId="5442D61D" w14:textId="77777777" w:rsidR="00B13937" w:rsidRPr="009A13D8" w:rsidRDefault="00B54965" w:rsidP="009A13D8">
      <w:pPr>
        <w:spacing w:after="0"/>
        <w:ind w:firstLine="720"/>
      </w:pPr>
    </w:p>
    <w:sectPr w:rsidR="00B13937" w:rsidRPr="009A13D8" w:rsidSect="009A13D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A3F7" w14:textId="77777777" w:rsidR="00A838A7" w:rsidRDefault="00075421">
      <w:pPr>
        <w:spacing w:after="0"/>
      </w:pPr>
      <w:r>
        <w:separator/>
      </w:r>
    </w:p>
  </w:endnote>
  <w:endnote w:type="continuationSeparator" w:id="0">
    <w:p w14:paraId="588DAB04" w14:textId="77777777" w:rsidR="00A838A7" w:rsidRDefault="000754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-BoldItalic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F829F" w14:textId="77777777" w:rsidR="0089366C" w:rsidRDefault="004F622E" w:rsidP="00246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36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2C2F7" w14:textId="77777777" w:rsidR="0089366C" w:rsidRDefault="008936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D242" w14:textId="77777777" w:rsidR="0089366C" w:rsidRDefault="004F622E" w:rsidP="00246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36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9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44DE75" w14:textId="77777777" w:rsidR="0089366C" w:rsidRDefault="008936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0475" w14:textId="77777777" w:rsidR="00A838A7" w:rsidRDefault="00075421">
      <w:pPr>
        <w:spacing w:after="0"/>
      </w:pPr>
      <w:r>
        <w:separator/>
      </w:r>
    </w:p>
  </w:footnote>
  <w:footnote w:type="continuationSeparator" w:id="0">
    <w:p w14:paraId="6E5B02F2" w14:textId="77777777" w:rsidR="00A838A7" w:rsidRDefault="000754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CB"/>
    <w:rsid w:val="0000150D"/>
    <w:rsid w:val="00075421"/>
    <w:rsid w:val="000D2ACC"/>
    <w:rsid w:val="00164E00"/>
    <w:rsid w:val="001E03CB"/>
    <w:rsid w:val="001E672A"/>
    <w:rsid w:val="00276F2C"/>
    <w:rsid w:val="002926B7"/>
    <w:rsid w:val="00295D0E"/>
    <w:rsid w:val="002C588C"/>
    <w:rsid w:val="002F20AB"/>
    <w:rsid w:val="003046BD"/>
    <w:rsid w:val="0031743E"/>
    <w:rsid w:val="003853FE"/>
    <w:rsid w:val="00386DDB"/>
    <w:rsid w:val="003A6A14"/>
    <w:rsid w:val="003D17B3"/>
    <w:rsid w:val="003D4D8E"/>
    <w:rsid w:val="003F1366"/>
    <w:rsid w:val="003F14F6"/>
    <w:rsid w:val="00404BBF"/>
    <w:rsid w:val="00417371"/>
    <w:rsid w:val="00452C50"/>
    <w:rsid w:val="004F622E"/>
    <w:rsid w:val="00566D66"/>
    <w:rsid w:val="0057530B"/>
    <w:rsid w:val="005C61FE"/>
    <w:rsid w:val="006701CF"/>
    <w:rsid w:val="00687030"/>
    <w:rsid w:val="00721196"/>
    <w:rsid w:val="00746075"/>
    <w:rsid w:val="00781843"/>
    <w:rsid w:val="007C7C7E"/>
    <w:rsid w:val="007E5AAC"/>
    <w:rsid w:val="007F0F90"/>
    <w:rsid w:val="00841C36"/>
    <w:rsid w:val="00857F89"/>
    <w:rsid w:val="00873B2C"/>
    <w:rsid w:val="0089366C"/>
    <w:rsid w:val="00895754"/>
    <w:rsid w:val="008A1492"/>
    <w:rsid w:val="008D0682"/>
    <w:rsid w:val="00957F9F"/>
    <w:rsid w:val="00982C0C"/>
    <w:rsid w:val="0099052C"/>
    <w:rsid w:val="009A13D8"/>
    <w:rsid w:val="009C40F7"/>
    <w:rsid w:val="00A00423"/>
    <w:rsid w:val="00A77717"/>
    <w:rsid w:val="00A838A7"/>
    <w:rsid w:val="00AE6F24"/>
    <w:rsid w:val="00B00825"/>
    <w:rsid w:val="00B54965"/>
    <w:rsid w:val="00B6799B"/>
    <w:rsid w:val="00BA6D63"/>
    <w:rsid w:val="00C20CBC"/>
    <w:rsid w:val="00C5657E"/>
    <w:rsid w:val="00C772FD"/>
    <w:rsid w:val="00C86B68"/>
    <w:rsid w:val="00CA3843"/>
    <w:rsid w:val="00CB4B69"/>
    <w:rsid w:val="00CF526A"/>
    <w:rsid w:val="00D236B9"/>
    <w:rsid w:val="00D3590C"/>
    <w:rsid w:val="00D56F5C"/>
    <w:rsid w:val="00DA209C"/>
    <w:rsid w:val="00DD429E"/>
    <w:rsid w:val="00DF4589"/>
    <w:rsid w:val="00DF706A"/>
    <w:rsid w:val="00E60348"/>
    <w:rsid w:val="00EF3D69"/>
    <w:rsid w:val="00F30EF8"/>
    <w:rsid w:val="00F451DC"/>
    <w:rsid w:val="00F6243A"/>
    <w:rsid w:val="00F84CE0"/>
    <w:rsid w:val="00FA3701"/>
    <w:rsid w:val="00FB030E"/>
    <w:rsid w:val="00FD04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A46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3D18D7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937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8936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366C"/>
    <w:rPr>
      <w:rFonts w:ascii="Times" w:hAnsi="Times"/>
    </w:rPr>
  </w:style>
  <w:style w:type="character" w:styleId="PageNumber">
    <w:name w:val="page number"/>
    <w:basedOn w:val="DefaultParagraphFont"/>
    <w:rsid w:val="0089366C"/>
  </w:style>
  <w:style w:type="character" w:styleId="Hyperlink">
    <w:name w:val="Hyperlink"/>
    <w:basedOn w:val="DefaultParagraphFont"/>
    <w:uiPriority w:val="99"/>
    <w:rsid w:val="0099052C"/>
    <w:rPr>
      <w:color w:val="0000FF"/>
      <w:u w:val="single"/>
    </w:rPr>
  </w:style>
  <w:style w:type="character" w:styleId="FollowedHyperlink">
    <w:name w:val="FollowedHyperlink"/>
    <w:basedOn w:val="DefaultParagraphFont"/>
    <w:rsid w:val="00DF4589"/>
    <w:rPr>
      <w:color w:val="800080" w:themeColor="followedHyperlink"/>
      <w:u w:val="single"/>
    </w:rPr>
  </w:style>
  <w:style w:type="paragraph" w:customStyle="1" w:styleId="RevEducTtulo">
    <w:name w:val="RevEduc Título"/>
    <w:basedOn w:val="Title"/>
    <w:rsid w:val="00DF4589"/>
    <w:pPr>
      <w:pBdr>
        <w:bottom w:val="none" w:sz="0" w:space="0" w:color="auto"/>
      </w:pBdr>
      <w:spacing w:before="200" w:after="120"/>
      <w:contextualSpacing w:val="0"/>
      <w:jc w:val="center"/>
      <w:outlineLvl w:val="0"/>
    </w:pPr>
    <w:rPr>
      <w:rFonts w:ascii="Georgia" w:eastAsia="Times New Roman" w:hAnsi="Georgia" w:cs="Times New Roman"/>
      <w:b/>
      <w:color w:val="auto"/>
      <w:spacing w:val="-3"/>
      <w:sz w:val="28"/>
      <w:szCs w:val="20"/>
      <w:lang w:val="pt-BR" w:eastAsia="pt-BR"/>
    </w:rPr>
  </w:style>
  <w:style w:type="paragraph" w:styleId="Title">
    <w:name w:val="Title"/>
    <w:basedOn w:val="Normal"/>
    <w:next w:val="Normal"/>
    <w:link w:val="TitleChar"/>
    <w:rsid w:val="00DF4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F4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3D18D7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937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8936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366C"/>
    <w:rPr>
      <w:rFonts w:ascii="Times" w:hAnsi="Times"/>
    </w:rPr>
  </w:style>
  <w:style w:type="character" w:styleId="PageNumber">
    <w:name w:val="page number"/>
    <w:basedOn w:val="DefaultParagraphFont"/>
    <w:rsid w:val="0089366C"/>
  </w:style>
  <w:style w:type="character" w:styleId="Hyperlink">
    <w:name w:val="Hyperlink"/>
    <w:basedOn w:val="DefaultParagraphFont"/>
    <w:uiPriority w:val="99"/>
    <w:rsid w:val="0099052C"/>
    <w:rPr>
      <w:color w:val="0000FF"/>
      <w:u w:val="single"/>
    </w:rPr>
  </w:style>
  <w:style w:type="character" w:styleId="FollowedHyperlink">
    <w:name w:val="FollowedHyperlink"/>
    <w:basedOn w:val="DefaultParagraphFont"/>
    <w:rsid w:val="00DF4589"/>
    <w:rPr>
      <w:color w:val="800080" w:themeColor="followedHyperlink"/>
      <w:u w:val="single"/>
    </w:rPr>
  </w:style>
  <w:style w:type="paragraph" w:customStyle="1" w:styleId="RevEducTtulo">
    <w:name w:val="RevEduc Título"/>
    <w:basedOn w:val="Title"/>
    <w:rsid w:val="00DF4589"/>
    <w:pPr>
      <w:pBdr>
        <w:bottom w:val="none" w:sz="0" w:space="0" w:color="auto"/>
      </w:pBdr>
      <w:spacing w:before="200" w:after="120"/>
      <w:contextualSpacing w:val="0"/>
      <w:jc w:val="center"/>
      <w:outlineLvl w:val="0"/>
    </w:pPr>
    <w:rPr>
      <w:rFonts w:ascii="Georgia" w:eastAsia="Times New Roman" w:hAnsi="Georgia" w:cs="Times New Roman"/>
      <w:b/>
      <w:color w:val="auto"/>
      <w:spacing w:val="-3"/>
      <w:sz w:val="28"/>
      <w:szCs w:val="20"/>
      <w:lang w:val="pt-BR" w:eastAsia="pt-BR"/>
    </w:rPr>
  </w:style>
  <w:style w:type="paragraph" w:styleId="Title">
    <w:name w:val="Title"/>
    <w:basedOn w:val="Normal"/>
    <w:next w:val="Normal"/>
    <w:link w:val="TitleChar"/>
    <w:rsid w:val="00DF4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F4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10457</Words>
  <Characters>59608</Characters>
  <Application>Microsoft Macintosh Word</Application>
  <DocSecurity>0</DocSecurity>
  <Lines>496</Lines>
  <Paragraphs>139</Paragraphs>
  <ScaleCrop>false</ScaleCrop>
  <Company>University of Connecticut</Company>
  <LinksUpToDate>false</LinksUpToDate>
  <CharactersWithSpaces>69926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NRC/GT</dc:creator>
  <cp:keywords/>
  <cp:lastModifiedBy>Joseph S. Renzulli</cp:lastModifiedBy>
  <cp:revision>4</cp:revision>
  <dcterms:created xsi:type="dcterms:W3CDTF">2017-03-13T23:58:00Z</dcterms:created>
  <dcterms:modified xsi:type="dcterms:W3CDTF">2018-08-24T19:35:00Z</dcterms:modified>
</cp:coreProperties>
</file>